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12FF" w:rsidRDefault="00E712FF" w:rsidP="00A52D75">
      <w:pPr>
        <w:rPr>
          <w:b/>
          <w:bCs/>
          <w:sz w:val="24"/>
          <w:szCs w:val="24"/>
        </w:rPr>
      </w:pPr>
      <w:r w:rsidRPr="00E712FF">
        <w:rPr>
          <w:b/>
          <w:bCs/>
          <w:sz w:val="24"/>
          <w:szCs w:val="24"/>
        </w:rPr>
        <w:t xml:space="preserve">Business Case – </w:t>
      </w:r>
      <w:r w:rsidR="0020395B">
        <w:rPr>
          <w:b/>
          <w:bCs/>
          <w:sz w:val="24"/>
          <w:szCs w:val="24"/>
        </w:rPr>
        <w:t xml:space="preserve">Impact of </w:t>
      </w:r>
      <w:r w:rsidRPr="00E712FF">
        <w:rPr>
          <w:b/>
          <w:bCs/>
          <w:sz w:val="24"/>
          <w:szCs w:val="24"/>
        </w:rPr>
        <w:t xml:space="preserve">Sheerwater </w:t>
      </w:r>
      <w:r w:rsidR="006032DE">
        <w:rPr>
          <w:b/>
          <w:bCs/>
          <w:sz w:val="24"/>
          <w:szCs w:val="24"/>
        </w:rPr>
        <w:t xml:space="preserve">Regeneration Project </w:t>
      </w:r>
      <w:r w:rsidR="0020395B">
        <w:rPr>
          <w:b/>
          <w:bCs/>
          <w:sz w:val="24"/>
          <w:szCs w:val="24"/>
        </w:rPr>
        <w:t>on</w:t>
      </w:r>
      <w:r w:rsidR="006032DE">
        <w:rPr>
          <w:b/>
          <w:bCs/>
          <w:sz w:val="24"/>
          <w:szCs w:val="24"/>
        </w:rPr>
        <w:t xml:space="preserve"> Shee</w:t>
      </w:r>
      <w:r w:rsidR="00F177D9">
        <w:rPr>
          <w:b/>
          <w:bCs/>
          <w:sz w:val="24"/>
          <w:szCs w:val="24"/>
        </w:rPr>
        <w:t>r</w:t>
      </w:r>
      <w:r w:rsidR="006032DE">
        <w:rPr>
          <w:b/>
          <w:bCs/>
          <w:sz w:val="24"/>
          <w:szCs w:val="24"/>
        </w:rPr>
        <w:t xml:space="preserve">water </w:t>
      </w:r>
      <w:r w:rsidRPr="00E712FF">
        <w:rPr>
          <w:b/>
          <w:bCs/>
          <w:sz w:val="24"/>
          <w:szCs w:val="24"/>
        </w:rPr>
        <w:t xml:space="preserve">Health Centre  </w:t>
      </w:r>
    </w:p>
    <w:p w:rsidR="006032DE" w:rsidRDefault="006032DE" w:rsidP="00A52D75">
      <w:pPr>
        <w:rPr>
          <w:b/>
          <w:bCs/>
          <w:sz w:val="24"/>
          <w:szCs w:val="24"/>
        </w:rPr>
      </w:pPr>
      <w:r>
        <w:rPr>
          <w:b/>
          <w:bCs/>
          <w:sz w:val="24"/>
          <w:szCs w:val="24"/>
        </w:rPr>
        <w:t>Prepared by: Sheerwater Health Centre</w:t>
      </w:r>
    </w:p>
    <w:p w:rsidR="006032DE" w:rsidRDefault="006032DE" w:rsidP="00A52D75">
      <w:pPr>
        <w:rPr>
          <w:b/>
          <w:bCs/>
          <w:sz w:val="24"/>
          <w:szCs w:val="24"/>
        </w:rPr>
      </w:pPr>
      <w:r>
        <w:rPr>
          <w:b/>
          <w:bCs/>
          <w:sz w:val="24"/>
          <w:szCs w:val="24"/>
        </w:rPr>
        <w:t>For: Woking Borough Council</w:t>
      </w:r>
    </w:p>
    <w:p w:rsidR="006032DE" w:rsidRDefault="006032DE" w:rsidP="00A52D75">
      <w:pPr>
        <w:rPr>
          <w:b/>
          <w:bCs/>
          <w:sz w:val="24"/>
          <w:szCs w:val="24"/>
        </w:rPr>
      </w:pPr>
      <w:r>
        <w:rPr>
          <w:b/>
          <w:bCs/>
          <w:sz w:val="24"/>
          <w:szCs w:val="24"/>
        </w:rPr>
        <w:t xml:space="preserve">Purpose: </w:t>
      </w:r>
      <w:r w:rsidR="0020395B">
        <w:rPr>
          <w:b/>
          <w:bCs/>
          <w:sz w:val="24"/>
          <w:szCs w:val="24"/>
        </w:rPr>
        <w:t xml:space="preserve">Options for </w:t>
      </w:r>
      <w:r>
        <w:rPr>
          <w:b/>
          <w:bCs/>
          <w:sz w:val="24"/>
          <w:szCs w:val="24"/>
        </w:rPr>
        <w:t xml:space="preserve">Supporting Sheerwater Health Centre  </w:t>
      </w:r>
    </w:p>
    <w:p w:rsidR="00E712FF" w:rsidRPr="006032DE" w:rsidRDefault="00E712FF" w:rsidP="00E712FF">
      <w:pPr>
        <w:pStyle w:val="NoSpacing"/>
        <w:rPr>
          <w:b/>
          <w:sz w:val="24"/>
          <w:szCs w:val="24"/>
        </w:rPr>
      </w:pPr>
      <w:r w:rsidRPr="006032DE">
        <w:rPr>
          <w:b/>
          <w:sz w:val="24"/>
          <w:szCs w:val="24"/>
        </w:rPr>
        <w:t>August 2019</w:t>
      </w:r>
      <w:r w:rsidR="00FD669A">
        <w:rPr>
          <w:b/>
          <w:sz w:val="24"/>
          <w:szCs w:val="24"/>
        </w:rPr>
        <w:t xml:space="preserve"> - revised </w:t>
      </w:r>
      <w:r w:rsidR="00DE3D68">
        <w:rPr>
          <w:b/>
          <w:sz w:val="24"/>
          <w:szCs w:val="24"/>
        </w:rPr>
        <w:t>Octo</w:t>
      </w:r>
      <w:r w:rsidR="00FD669A">
        <w:rPr>
          <w:b/>
          <w:sz w:val="24"/>
          <w:szCs w:val="24"/>
        </w:rPr>
        <w:t>ber 2019</w:t>
      </w:r>
      <w:r w:rsidR="00143FA7">
        <w:rPr>
          <w:b/>
          <w:sz w:val="24"/>
          <w:szCs w:val="24"/>
        </w:rPr>
        <w:t xml:space="preserve"> v</w:t>
      </w:r>
      <w:r w:rsidR="00DE3D68">
        <w:rPr>
          <w:b/>
          <w:sz w:val="24"/>
          <w:szCs w:val="24"/>
        </w:rPr>
        <w:t>3</w:t>
      </w:r>
    </w:p>
    <w:p w:rsidR="00E712FF" w:rsidRDefault="006032DE" w:rsidP="00E712FF">
      <w:pPr>
        <w:pStyle w:val="NoSpacing"/>
        <w:rPr>
          <w:b/>
        </w:rPr>
      </w:pPr>
      <w:r>
        <w:rPr>
          <w:b/>
        </w:rPr>
        <w:t xml:space="preserve"> </w:t>
      </w:r>
    </w:p>
    <w:p w:rsidR="00E712FF" w:rsidRDefault="00F43293" w:rsidP="00E712FF">
      <w:pPr>
        <w:pStyle w:val="NoSpacing"/>
        <w:rPr>
          <w:b/>
        </w:rPr>
      </w:pPr>
      <w:r>
        <w:rPr>
          <w:noProof/>
          <w:lang w:eastAsia="en-GB"/>
        </w:rPr>
        <w:drawing>
          <wp:inline distT="0" distB="0" distL="0" distR="0" wp14:anchorId="58E85D76" wp14:editId="3E703C12">
            <wp:extent cx="5238750" cy="3981450"/>
            <wp:effectExtent l="0" t="0" r="0" b="0"/>
            <wp:docPr id="1" name="Picture 1" descr="https://woking.gov.uk/sites/default/files/00005ABCFEB6.A20DBC27.00002217.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oking.gov.uk/sites/default/files/00005ABCFEB6.A20DBC27.00002217.000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0" cy="3981450"/>
                    </a:xfrm>
                    <a:prstGeom prst="rect">
                      <a:avLst/>
                    </a:prstGeom>
                    <a:noFill/>
                    <a:ln>
                      <a:noFill/>
                    </a:ln>
                  </pic:spPr>
                </pic:pic>
              </a:graphicData>
            </a:graphic>
          </wp:inline>
        </w:drawing>
      </w:r>
    </w:p>
    <w:p w:rsidR="00B55D15" w:rsidRDefault="00B55D15" w:rsidP="00E712FF">
      <w:pPr>
        <w:pStyle w:val="NoSpacing"/>
        <w:rPr>
          <w:b/>
        </w:rPr>
      </w:pPr>
    </w:p>
    <w:p w:rsidR="00A101F4" w:rsidRDefault="00A101F4" w:rsidP="00E712FF">
      <w:pPr>
        <w:pStyle w:val="NoSpacing"/>
        <w:rPr>
          <w:b/>
        </w:rPr>
      </w:pPr>
    </w:p>
    <w:p w:rsidR="00B55D15" w:rsidRDefault="00033F3F" w:rsidP="00E712FF">
      <w:pPr>
        <w:pStyle w:val="NoSpacing"/>
        <w:rPr>
          <w:b/>
        </w:rPr>
      </w:pPr>
      <w:r>
        <w:rPr>
          <w:noProof/>
          <w:lang w:eastAsia="en-GB"/>
        </w:rPr>
        <w:drawing>
          <wp:inline distT="0" distB="0" distL="0" distR="0" wp14:anchorId="1029780C" wp14:editId="2DB41D41">
            <wp:extent cx="5542915" cy="2905125"/>
            <wp:effectExtent l="0" t="0" r="63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71745" cy="2920235"/>
                    </a:xfrm>
                    <a:prstGeom prst="rect">
                      <a:avLst/>
                    </a:prstGeom>
                  </pic:spPr>
                </pic:pic>
              </a:graphicData>
            </a:graphic>
          </wp:inline>
        </w:drawing>
      </w:r>
    </w:p>
    <w:p w:rsidR="005C142E" w:rsidRDefault="005C142E" w:rsidP="00E712FF">
      <w:pPr>
        <w:pStyle w:val="NoSpacing"/>
        <w:rPr>
          <w:b/>
        </w:rPr>
      </w:pPr>
      <w:r>
        <w:rPr>
          <w:b/>
        </w:rPr>
        <w:t xml:space="preserve">*Sheerwater Health Centre currently located in Green phase and proposal to </w:t>
      </w:r>
    </w:p>
    <w:p w:rsidR="00E712FF" w:rsidRDefault="005C142E" w:rsidP="00E712FF">
      <w:pPr>
        <w:pStyle w:val="NoSpacing"/>
        <w:rPr>
          <w:b/>
        </w:rPr>
      </w:pPr>
      <w:r>
        <w:rPr>
          <w:b/>
        </w:rPr>
        <w:t>be relocated to Yellow Phase</w:t>
      </w:r>
      <w:r w:rsidR="006E45DC">
        <w:rPr>
          <w:b/>
        </w:rPr>
        <w:t xml:space="preserve"> in 2023</w:t>
      </w:r>
    </w:p>
    <w:p w:rsidR="005C142E" w:rsidRDefault="005C142E" w:rsidP="00E712FF">
      <w:pPr>
        <w:pStyle w:val="NoSpacing"/>
        <w:rPr>
          <w:b/>
        </w:rPr>
      </w:pPr>
    </w:p>
    <w:p w:rsidR="00A101F4" w:rsidRDefault="00A101F4" w:rsidP="00E712FF">
      <w:pPr>
        <w:pStyle w:val="NoSpacing"/>
        <w:rPr>
          <w:b/>
        </w:rPr>
      </w:pPr>
    </w:p>
    <w:p w:rsidR="00E712FF" w:rsidRDefault="000E1D9F" w:rsidP="00E712FF">
      <w:pPr>
        <w:pStyle w:val="NoSpacing"/>
        <w:rPr>
          <w:b/>
        </w:rPr>
      </w:pPr>
      <w:r>
        <w:rPr>
          <w:b/>
        </w:rPr>
        <w:t>Background</w:t>
      </w:r>
    </w:p>
    <w:p w:rsidR="00E712FF" w:rsidRPr="00E712FF" w:rsidRDefault="00E712FF" w:rsidP="00E712FF">
      <w:pPr>
        <w:pStyle w:val="NoSpacing"/>
        <w:rPr>
          <w:b/>
        </w:rPr>
      </w:pPr>
    </w:p>
    <w:p w:rsidR="001208D1" w:rsidRDefault="001208D1" w:rsidP="00A52D75">
      <w:pPr>
        <w:rPr>
          <w:bCs/>
        </w:rPr>
      </w:pPr>
      <w:r>
        <w:rPr>
          <w:bCs/>
        </w:rPr>
        <w:t>Sheerwater Regeneration Project was approved by Woking Borough Council (WBC) in 2017.  The redevelopment is part of a 10-year plan to redevelop the entire Sheerwater area.  Currently Sheerwater is primarily a council owned neighbourhood, whereas the new development will have a mix of owner occupied and social housing alongside new leisure and retail facilities.</w:t>
      </w:r>
    </w:p>
    <w:p w:rsidR="001208D1" w:rsidRDefault="001208D1" w:rsidP="00A52D75">
      <w:pPr>
        <w:rPr>
          <w:b/>
          <w:bCs/>
        </w:rPr>
      </w:pPr>
      <w:r>
        <w:rPr>
          <w:bCs/>
        </w:rPr>
        <w:t>Revised plans were approved by WBC in April 2019</w:t>
      </w:r>
      <w:r w:rsidR="000E1D9F">
        <w:rPr>
          <w:bCs/>
        </w:rPr>
        <w:t xml:space="preserve">.  The existing 576 properties will be demolished over a number of phases spanning six years.  Outline planning consent has been granted for 1,142 new homes – a mix of one bedroom to five bedroom homes. </w:t>
      </w:r>
    </w:p>
    <w:p w:rsidR="000E1D9F" w:rsidRDefault="000E1D9F" w:rsidP="00A52D75">
      <w:pPr>
        <w:rPr>
          <w:bCs/>
        </w:rPr>
      </w:pPr>
      <w:r>
        <w:rPr>
          <w:bCs/>
        </w:rPr>
        <w:t>The first phase, including 92 properties and new leisure facilities, has commenced and will take approximately two years to complete.  The existing GP practice is due to move to a new site in 2023.</w:t>
      </w:r>
    </w:p>
    <w:p w:rsidR="000E1D9F" w:rsidRDefault="000E1D9F" w:rsidP="00A52D75">
      <w:pPr>
        <w:rPr>
          <w:b/>
          <w:bCs/>
        </w:rPr>
      </w:pPr>
      <w:r>
        <w:rPr>
          <w:b/>
          <w:bCs/>
        </w:rPr>
        <w:t>Impact of development on Sheerwater Health Centre</w:t>
      </w:r>
    </w:p>
    <w:p w:rsidR="000E1D9F" w:rsidRDefault="006734A2" w:rsidP="00A52D75">
      <w:pPr>
        <w:rPr>
          <w:bCs/>
        </w:rPr>
      </w:pPr>
      <w:r>
        <w:rPr>
          <w:bCs/>
        </w:rPr>
        <w:t xml:space="preserve">The practice understood that current Sheerwater residents would be relocated within the development as the new housing was being built, retaining as many residents as possible.  </w:t>
      </w:r>
      <w:r w:rsidR="00BD34FE">
        <w:rPr>
          <w:bCs/>
        </w:rPr>
        <w:t>However,</w:t>
      </w:r>
      <w:r>
        <w:rPr>
          <w:bCs/>
        </w:rPr>
        <w:t xml:space="preserve"> many residents have been rehoused in other areas of Woking and their properties have remained vacant.  The population of Sheerwater is therefore declining and is likely to reduce further in the short term.</w:t>
      </w:r>
    </w:p>
    <w:p w:rsidR="00BD34FE" w:rsidRDefault="006734A2" w:rsidP="00A52D75">
      <w:pPr>
        <w:rPr>
          <w:bCs/>
        </w:rPr>
      </w:pPr>
      <w:r>
        <w:rPr>
          <w:bCs/>
        </w:rPr>
        <w:t xml:space="preserve">GP practices are paid per patient, so the declining population has a direct effect on practice income and could threaten the sustainability of the practice. </w:t>
      </w:r>
      <w:r w:rsidR="00BD34FE">
        <w:rPr>
          <w:bCs/>
        </w:rPr>
        <w:t xml:space="preserve">In addition to the declining income, the area has changed in character as residents have been rehoused.  There </w:t>
      </w:r>
      <w:r w:rsidR="002366EE">
        <w:rPr>
          <w:bCs/>
        </w:rPr>
        <w:t>is</w:t>
      </w:r>
      <w:r w:rsidR="00BD34FE">
        <w:rPr>
          <w:bCs/>
        </w:rPr>
        <w:t xml:space="preserve"> a large and growing number of empty and boarded up properties which has had a negative impact on the area and has led to issues with staff </w:t>
      </w:r>
      <w:r w:rsidR="00A10D1C">
        <w:rPr>
          <w:bCs/>
        </w:rPr>
        <w:t xml:space="preserve">recruitment and </w:t>
      </w:r>
      <w:r w:rsidR="00BD34FE">
        <w:rPr>
          <w:bCs/>
        </w:rPr>
        <w:t>retention in the practice.</w:t>
      </w:r>
    </w:p>
    <w:p w:rsidR="008715BA" w:rsidRDefault="008715BA" w:rsidP="00A52D75">
      <w:pPr>
        <w:rPr>
          <w:bCs/>
        </w:rPr>
      </w:pPr>
      <w:r>
        <w:rPr>
          <w:bCs/>
        </w:rPr>
        <w:t>In addition the practice is incurring additional travel time for GPs attending house calls to patients that have moved away but have remained registered at the practice.</w:t>
      </w:r>
    </w:p>
    <w:p w:rsidR="00BD34FE" w:rsidRDefault="00BD34FE" w:rsidP="00A52D75">
      <w:pPr>
        <w:rPr>
          <w:bCs/>
        </w:rPr>
      </w:pPr>
      <w:r>
        <w:rPr>
          <w:bCs/>
        </w:rPr>
        <w:t>The practice is concerned about their sustainability over the course of the development.</w:t>
      </w:r>
    </w:p>
    <w:p w:rsidR="00F36662" w:rsidRDefault="00F36662" w:rsidP="008123D0">
      <w:pPr>
        <w:rPr>
          <w:b/>
        </w:rPr>
      </w:pPr>
      <w:r w:rsidRPr="00F36662">
        <w:rPr>
          <w:b/>
        </w:rPr>
        <w:t xml:space="preserve">Patient </w:t>
      </w:r>
      <w:r w:rsidR="00D016F4">
        <w:rPr>
          <w:b/>
        </w:rPr>
        <w:t xml:space="preserve">Calculation </w:t>
      </w:r>
      <w:r w:rsidRPr="00F36662">
        <w:rPr>
          <w:b/>
        </w:rPr>
        <w:t>Information</w:t>
      </w:r>
      <w:r w:rsidR="00A10D1C">
        <w:rPr>
          <w:b/>
        </w:rPr>
        <w:t xml:space="preserve"> </w:t>
      </w:r>
    </w:p>
    <w:p w:rsidR="00544AA1" w:rsidRDefault="006672B5" w:rsidP="00544AA1">
      <w:pPr>
        <w:spacing w:after="200" w:line="276" w:lineRule="auto"/>
        <w:rPr>
          <w:rFonts w:ascii="Calibri" w:eastAsia="Calibri" w:hAnsi="Calibri" w:cs="Times New Roman"/>
        </w:rPr>
      </w:pPr>
      <w:r w:rsidRPr="006672B5">
        <w:rPr>
          <w:rFonts w:ascii="Calibri" w:eastAsia="Calibri" w:hAnsi="Calibri" w:cs="Times New Roman"/>
        </w:rPr>
        <w:t xml:space="preserve">Calculations to show loss of practice income as a result of decreasing practice list size. </w:t>
      </w:r>
    </w:p>
    <w:p w:rsidR="00A81D4D" w:rsidRPr="00544AA1" w:rsidRDefault="00A81D4D" w:rsidP="00544AA1">
      <w:pPr>
        <w:pStyle w:val="ListParagraph"/>
        <w:numPr>
          <w:ilvl w:val="0"/>
          <w:numId w:val="1"/>
        </w:numPr>
        <w:spacing w:after="200" w:line="276" w:lineRule="auto"/>
        <w:rPr>
          <w:rFonts w:ascii="Calibri" w:eastAsia="Calibri" w:hAnsi="Calibri" w:cs="Times New Roman"/>
        </w:rPr>
      </w:pPr>
      <w:r w:rsidRPr="00544AA1">
        <w:rPr>
          <w:rFonts w:ascii="Calibri" w:eastAsia="Calibri" w:hAnsi="Calibri" w:cs="Times New Roman"/>
        </w:rPr>
        <w:t>Fig 1 shows the numbers of patients registered at the practice since 2015</w:t>
      </w:r>
    </w:p>
    <w:p w:rsidR="00A81D4D" w:rsidRDefault="00A81D4D" w:rsidP="00A81D4D">
      <w:pPr>
        <w:pStyle w:val="ListParagraph"/>
        <w:numPr>
          <w:ilvl w:val="0"/>
          <w:numId w:val="1"/>
        </w:numPr>
        <w:spacing w:after="200" w:line="276" w:lineRule="auto"/>
        <w:rPr>
          <w:rFonts w:ascii="Calibri" w:eastAsia="Calibri" w:hAnsi="Calibri" w:cs="Times New Roman"/>
        </w:rPr>
      </w:pPr>
      <w:r>
        <w:rPr>
          <w:rFonts w:ascii="Calibri" w:eastAsia="Calibri" w:hAnsi="Calibri" w:cs="Times New Roman"/>
        </w:rPr>
        <w:t>Fig 2 shows the trend in list size before work commenced on the regeneration.  The list size was steadily rising, leading to increased income for the practice</w:t>
      </w:r>
    </w:p>
    <w:p w:rsidR="00A81D4D" w:rsidRDefault="00A81D4D" w:rsidP="00A81D4D">
      <w:pPr>
        <w:pStyle w:val="ListParagraph"/>
        <w:numPr>
          <w:ilvl w:val="0"/>
          <w:numId w:val="1"/>
        </w:numPr>
        <w:spacing w:after="200" w:line="276" w:lineRule="auto"/>
        <w:rPr>
          <w:rFonts w:ascii="Calibri" w:eastAsia="Calibri" w:hAnsi="Calibri" w:cs="Times New Roman"/>
        </w:rPr>
      </w:pPr>
      <w:r>
        <w:rPr>
          <w:rFonts w:ascii="Calibri" w:eastAsia="Calibri" w:hAnsi="Calibri" w:cs="Times New Roman"/>
        </w:rPr>
        <w:t>Fig 3 shows the reversal of this trend since the regeneration project received planning permission in 2017.  The practice’s list size has been steadily declining since this date, with a subsequent reduction in income.</w:t>
      </w:r>
    </w:p>
    <w:p w:rsidR="00913B6B" w:rsidRDefault="00A81D4D" w:rsidP="00A81D4D">
      <w:pPr>
        <w:pStyle w:val="ListParagraph"/>
        <w:numPr>
          <w:ilvl w:val="0"/>
          <w:numId w:val="1"/>
        </w:numPr>
        <w:spacing w:after="200" w:line="276" w:lineRule="auto"/>
        <w:rPr>
          <w:rFonts w:ascii="Calibri" w:eastAsia="Calibri" w:hAnsi="Calibri" w:cs="Times New Roman"/>
        </w:rPr>
      </w:pPr>
      <w:r>
        <w:rPr>
          <w:rFonts w:ascii="Calibri" w:eastAsia="Calibri" w:hAnsi="Calibri" w:cs="Times New Roman"/>
        </w:rPr>
        <w:t xml:space="preserve">Table 1 shows the practice income over this time.  Column 3 shows the payments to the practice, </w:t>
      </w:r>
      <w:r w:rsidR="005A71E9">
        <w:rPr>
          <w:rFonts w:ascii="Calibri" w:eastAsia="Calibri" w:hAnsi="Calibri" w:cs="Times New Roman"/>
        </w:rPr>
        <w:t xml:space="preserve">at £120 per patient. Payments to all practices in England are published </w:t>
      </w:r>
      <w:r w:rsidR="00544AA1">
        <w:rPr>
          <w:rFonts w:ascii="Calibri" w:eastAsia="Calibri" w:hAnsi="Calibri" w:cs="Times New Roman"/>
        </w:rPr>
        <w:t xml:space="preserve">annually </w:t>
      </w:r>
      <w:r w:rsidR="005A71E9">
        <w:rPr>
          <w:rFonts w:ascii="Calibri" w:eastAsia="Calibri" w:hAnsi="Calibri" w:cs="Times New Roman"/>
        </w:rPr>
        <w:t xml:space="preserve">by NHS England (see Annex). </w:t>
      </w:r>
    </w:p>
    <w:p w:rsidR="009C0D8A" w:rsidRDefault="005A71E9" w:rsidP="00913B6B">
      <w:pPr>
        <w:pStyle w:val="ListParagraph"/>
        <w:spacing w:after="200" w:line="276" w:lineRule="auto"/>
        <w:rPr>
          <w:rFonts w:ascii="Calibri" w:eastAsia="Calibri" w:hAnsi="Calibri" w:cs="Times New Roman"/>
        </w:rPr>
      </w:pPr>
      <w:r>
        <w:rPr>
          <w:rFonts w:ascii="Calibri" w:eastAsia="Calibri" w:hAnsi="Calibri" w:cs="Times New Roman"/>
        </w:rPr>
        <w:t>Column 3 sho</w:t>
      </w:r>
      <w:r w:rsidR="00A81D4D">
        <w:rPr>
          <w:rFonts w:ascii="Calibri" w:eastAsia="Calibri" w:hAnsi="Calibri" w:cs="Times New Roman"/>
        </w:rPr>
        <w:t>w</w:t>
      </w:r>
      <w:r>
        <w:rPr>
          <w:rFonts w:ascii="Calibri" w:eastAsia="Calibri" w:hAnsi="Calibri" w:cs="Times New Roman"/>
        </w:rPr>
        <w:t xml:space="preserve">s </w:t>
      </w:r>
      <w:r w:rsidR="009C0D8A">
        <w:rPr>
          <w:rFonts w:ascii="Calibri" w:eastAsia="Calibri" w:hAnsi="Calibri" w:cs="Times New Roman"/>
        </w:rPr>
        <w:t xml:space="preserve">that payments have been </w:t>
      </w:r>
      <w:r w:rsidR="00A81D4D">
        <w:rPr>
          <w:rFonts w:ascii="Calibri" w:eastAsia="Calibri" w:hAnsi="Calibri" w:cs="Times New Roman"/>
        </w:rPr>
        <w:t>steadily declining</w:t>
      </w:r>
      <w:r w:rsidR="009C0D8A">
        <w:rPr>
          <w:rFonts w:ascii="Calibri" w:eastAsia="Calibri" w:hAnsi="Calibri" w:cs="Times New Roman"/>
        </w:rPr>
        <w:t xml:space="preserve"> with time.</w:t>
      </w:r>
    </w:p>
    <w:p w:rsidR="009C0D8A" w:rsidRDefault="009C0D8A" w:rsidP="009C0D8A">
      <w:pPr>
        <w:pStyle w:val="ListParagraph"/>
        <w:spacing w:after="200" w:line="276" w:lineRule="auto"/>
        <w:rPr>
          <w:rFonts w:ascii="Calibri" w:eastAsia="Calibri" w:hAnsi="Calibri" w:cs="Times New Roman"/>
        </w:rPr>
      </w:pPr>
      <w:r>
        <w:rPr>
          <w:rFonts w:ascii="Calibri" w:eastAsia="Calibri" w:hAnsi="Calibri" w:cs="Times New Roman"/>
        </w:rPr>
        <w:t>Column 4 shows the income if list size had remained constant at 3224.</w:t>
      </w:r>
      <w:r w:rsidR="005D03CB">
        <w:rPr>
          <w:rFonts w:ascii="Calibri" w:eastAsia="Calibri" w:hAnsi="Calibri" w:cs="Times New Roman"/>
        </w:rPr>
        <w:t xml:space="preserve"> This is a reasonable assumption as this value would be increasing with time under normal circumstances.</w:t>
      </w:r>
    </w:p>
    <w:p w:rsidR="009C0D8A" w:rsidRDefault="009C0D8A" w:rsidP="009C0D8A">
      <w:pPr>
        <w:pStyle w:val="ListParagraph"/>
        <w:spacing w:after="200" w:line="276" w:lineRule="auto"/>
        <w:rPr>
          <w:rFonts w:ascii="Calibri" w:eastAsia="Calibri" w:hAnsi="Calibri" w:cs="Times New Roman"/>
        </w:rPr>
      </w:pPr>
      <w:r>
        <w:rPr>
          <w:rFonts w:ascii="Calibri" w:eastAsia="Calibri" w:hAnsi="Calibri" w:cs="Times New Roman"/>
        </w:rPr>
        <w:t>Column 5 shows the loss of income as a result of reduced list size.</w:t>
      </w:r>
    </w:p>
    <w:p w:rsidR="00A81D4D" w:rsidRDefault="009C0D8A" w:rsidP="009C0D8A">
      <w:pPr>
        <w:pStyle w:val="ListParagraph"/>
        <w:spacing w:after="200" w:line="276" w:lineRule="auto"/>
        <w:rPr>
          <w:rFonts w:ascii="Calibri" w:eastAsia="Calibri" w:hAnsi="Calibri" w:cs="Times New Roman"/>
        </w:rPr>
      </w:pPr>
      <w:r>
        <w:rPr>
          <w:rFonts w:ascii="Calibri" w:eastAsia="Calibri" w:hAnsi="Calibri" w:cs="Times New Roman"/>
        </w:rPr>
        <w:t xml:space="preserve">The combined loss </w:t>
      </w:r>
      <w:r w:rsidR="0044651B">
        <w:rPr>
          <w:rFonts w:ascii="Calibri" w:eastAsia="Calibri" w:hAnsi="Calibri" w:cs="Times New Roman"/>
        </w:rPr>
        <w:t>to date</w:t>
      </w:r>
      <w:r>
        <w:rPr>
          <w:rFonts w:ascii="Calibri" w:eastAsia="Calibri" w:hAnsi="Calibri" w:cs="Times New Roman"/>
        </w:rPr>
        <w:t xml:space="preserve"> is </w:t>
      </w:r>
      <w:r w:rsidR="001A4D0D">
        <w:rPr>
          <w:rFonts w:ascii="Calibri" w:eastAsia="Calibri" w:hAnsi="Calibri" w:cs="Times New Roman"/>
        </w:rPr>
        <w:t>£45,780</w:t>
      </w:r>
      <w:r>
        <w:rPr>
          <w:rFonts w:ascii="Calibri" w:eastAsia="Calibri" w:hAnsi="Calibri" w:cs="Times New Roman"/>
        </w:rPr>
        <w:t>.</w:t>
      </w:r>
    </w:p>
    <w:p w:rsidR="006672B5" w:rsidRPr="006672B5" w:rsidRDefault="006672B5" w:rsidP="006672B5">
      <w:pPr>
        <w:spacing w:after="200" w:line="276" w:lineRule="auto"/>
        <w:ind w:left="360"/>
        <w:rPr>
          <w:rFonts w:ascii="Calibri" w:eastAsia="Calibri" w:hAnsi="Calibri" w:cs="Times New Roman"/>
        </w:rPr>
      </w:pPr>
    </w:p>
    <w:p w:rsidR="00A10D1C" w:rsidRDefault="00A10D1C">
      <w:pPr>
        <w:rPr>
          <w:b/>
          <w:sz w:val="20"/>
          <w:szCs w:val="20"/>
        </w:rPr>
      </w:pPr>
    </w:p>
    <w:p w:rsidR="00B4020C" w:rsidRDefault="00B4020C">
      <w:pPr>
        <w:rPr>
          <w:b/>
          <w:sz w:val="20"/>
          <w:szCs w:val="20"/>
        </w:rPr>
      </w:pPr>
      <w:r>
        <w:rPr>
          <w:noProof/>
          <w:lang w:eastAsia="en-GB"/>
        </w:rPr>
        <w:drawing>
          <wp:inline distT="0" distB="0" distL="0" distR="0" wp14:anchorId="57FDE0A2" wp14:editId="1EBDD51B">
            <wp:extent cx="5731510" cy="3743852"/>
            <wp:effectExtent l="0" t="0" r="2159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4020C" w:rsidRPr="006672B5" w:rsidRDefault="00B4020C" w:rsidP="00B4020C">
      <w:pPr>
        <w:spacing w:after="200" w:line="276" w:lineRule="auto"/>
        <w:contextualSpacing/>
        <w:rPr>
          <w:rFonts w:ascii="Calibri" w:eastAsia="Calibri" w:hAnsi="Calibri" w:cs="Times New Roman"/>
        </w:rPr>
      </w:pPr>
      <w:r>
        <w:rPr>
          <w:rFonts w:ascii="Calibri" w:eastAsia="Calibri" w:hAnsi="Calibri" w:cs="Times New Roman"/>
        </w:rPr>
        <w:t>Fig 1: Practice list size variation with time</w:t>
      </w:r>
    </w:p>
    <w:p w:rsidR="00BD34FE" w:rsidRPr="00BD34FE" w:rsidRDefault="00BD34FE">
      <w:pPr>
        <w:rPr>
          <w:b/>
          <w:sz w:val="20"/>
          <w:szCs w:val="20"/>
        </w:rPr>
      </w:pPr>
      <w:r w:rsidRPr="00BD34FE">
        <w:rPr>
          <w:b/>
          <w:sz w:val="20"/>
          <w:szCs w:val="20"/>
        </w:rPr>
        <w:br w:type="page"/>
      </w:r>
    </w:p>
    <w:p w:rsidR="00B16D37" w:rsidRPr="00BD34FE" w:rsidRDefault="00BD34FE" w:rsidP="008123D0">
      <w:pPr>
        <w:rPr>
          <w:b/>
          <w:sz w:val="20"/>
          <w:szCs w:val="20"/>
        </w:rPr>
      </w:pPr>
      <w:r w:rsidRPr="00BD34FE">
        <w:rPr>
          <w:b/>
          <w:sz w:val="20"/>
          <w:szCs w:val="20"/>
        </w:rPr>
        <w:t>Fig 2:</w:t>
      </w:r>
      <w:r w:rsidR="00A10D1C">
        <w:rPr>
          <w:b/>
          <w:sz w:val="20"/>
          <w:szCs w:val="20"/>
        </w:rPr>
        <w:t xml:space="preserve"> </w:t>
      </w:r>
    </w:p>
    <w:p w:rsidR="006672B5" w:rsidRDefault="006672B5" w:rsidP="008123D0">
      <w:pPr>
        <w:rPr>
          <w:b/>
          <w:color w:val="FF0000"/>
          <w:sz w:val="20"/>
          <w:szCs w:val="20"/>
        </w:rPr>
      </w:pPr>
      <w:r>
        <w:rPr>
          <w:noProof/>
          <w:lang w:eastAsia="en-GB"/>
        </w:rPr>
        <w:drawing>
          <wp:inline distT="0" distB="0" distL="0" distR="0" wp14:anchorId="04FA4EB8" wp14:editId="5883CFBD">
            <wp:extent cx="5731510" cy="3743325"/>
            <wp:effectExtent l="0" t="0" r="254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D34FE" w:rsidRPr="00BD34FE" w:rsidRDefault="00BD34FE" w:rsidP="008123D0">
      <w:pPr>
        <w:rPr>
          <w:b/>
          <w:sz w:val="20"/>
          <w:szCs w:val="20"/>
        </w:rPr>
      </w:pPr>
      <w:r w:rsidRPr="00BD34FE">
        <w:rPr>
          <w:b/>
          <w:sz w:val="20"/>
          <w:szCs w:val="20"/>
        </w:rPr>
        <w:t>Fig 3:</w:t>
      </w:r>
    </w:p>
    <w:p w:rsidR="00913B6B" w:rsidRDefault="006D1986" w:rsidP="008123D0">
      <w:pPr>
        <w:rPr>
          <w:b/>
          <w:color w:val="FF0000"/>
          <w:sz w:val="20"/>
          <w:szCs w:val="20"/>
        </w:rPr>
      </w:pPr>
      <w:r>
        <w:rPr>
          <w:noProof/>
          <w:lang w:eastAsia="en-GB"/>
        </w:rPr>
        <w:drawing>
          <wp:inline distT="0" distB="0" distL="0" distR="0" wp14:anchorId="7DAD86AF" wp14:editId="5BE3C9B4">
            <wp:extent cx="5731510" cy="3743852"/>
            <wp:effectExtent l="0" t="0" r="21590"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13B6B" w:rsidRDefault="00913B6B" w:rsidP="008123D0">
      <w:pPr>
        <w:rPr>
          <w:b/>
          <w:color w:val="FF0000"/>
          <w:sz w:val="20"/>
          <w:szCs w:val="20"/>
        </w:rPr>
      </w:pPr>
    </w:p>
    <w:p w:rsidR="00913B6B" w:rsidRDefault="00913B6B" w:rsidP="008123D0">
      <w:pPr>
        <w:rPr>
          <w:b/>
          <w:color w:val="FF0000"/>
          <w:sz w:val="20"/>
          <w:szCs w:val="20"/>
        </w:rPr>
      </w:pPr>
    </w:p>
    <w:p w:rsidR="006D1986" w:rsidRDefault="006D1986" w:rsidP="008123D0">
      <w:pPr>
        <w:rPr>
          <w:b/>
          <w:color w:val="FF0000"/>
          <w:sz w:val="20"/>
          <w:szCs w:val="20"/>
        </w:rPr>
      </w:pPr>
    </w:p>
    <w:p w:rsidR="006D1986" w:rsidRDefault="006D1986" w:rsidP="008123D0">
      <w:pPr>
        <w:rPr>
          <w:b/>
          <w:color w:val="FF0000"/>
          <w:sz w:val="20"/>
          <w:szCs w:val="20"/>
        </w:rPr>
      </w:pPr>
    </w:p>
    <w:p w:rsidR="006D1986" w:rsidRPr="006D7BD6" w:rsidRDefault="006D1986" w:rsidP="006D1986">
      <w:pPr>
        <w:rPr>
          <w:b/>
          <w:sz w:val="20"/>
          <w:szCs w:val="20"/>
        </w:rPr>
      </w:pPr>
      <w:r w:rsidRPr="006D7BD6">
        <w:rPr>
          <w:b/>
          <w:sz w:val="20"/>
          <w:szCs w:val="20"/>
        </w:rPr>
        <w:t>Table 1</w:t>
      </w:r>
      <w:r>
        <w:rPr>
          <w:b/>
          <w:sz w:val="20"/>
          <w:szCs w:val="20"/>
        </w:rPr>
        <w:t>:</w:t>
      </w:r>
    </w:p>
    <w:p w:rsidR="006D1986" w:rsidRDefault="00DE3D68" w:rsidP="008123D0">
      <w:pPr>
        <w:rPr>
          <w:b/>
          <w:sz w:val="20"/>
          <w:szCs w:val="20"/>
        </w:rPr>
      </w:pPr>
      <w:r w:rsidRPr="00DE3D68">
        <w:drawing>
          <wp:inline distT="0" distB="0" distL="0" distR="0" wp14:anchorId="38CA4138" wp14:editId="4234C514">
            <wp:extent cx="5731510" cy="4565097"/>
            <wp:effectExtent l="0" t="0" r="254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565097"/>
                    </a:xfrm>
                    <a:prstGeom prst="rect">
                      <a:avLst/>
                    </a:prstGeom>
                    <a:noFill/>
                    <a:ln>
                      <a:noFill/>
                    </a:ln>
                  </pic:spPr>
                </pic:pic>
              </a:graphicData>
            </a:graphic>
          </wp:inline>
        </w:drawing>
      </w:r>
    </w:p>
    <w:p w:rsidR="006D1986" w:rsidRDefault="006D1986">
      <w:pPr>
        <w:rPr>
          <w:b/>
          <w:sz w:val="20"/>
          <w:szCs w:val="20"/>
        </w:rPr>
      </w:pPr>
      <w:r>
        <w:rPr>
          <w:b/>
          <w:sz w:val="20"/>
          <w:szCs w:val="20"/>
        </w:rPr>
        <w:br w:type="page"/>
      </w:r>
    </w:p>
    <w:p w:rsidR="00BD34FE" w:rsidRDefault="00BD34FE">
      <w:pPr>
        <w:rPr>
          <w:b/>
          <w:color w:val="FF0000"/>
          <w:sz w:val="20"/>
          <w:szCs w:val="20"/>
        </w:rPr>
      </w:pPr>
    </w:p>
    <w:p w:rsidR="001B32B5" w:rsidRPr="00FA20E6" w:rsidRDefault="00C45007" w:rsidP="008123D0">
      <w:pPr>
        <w:rPr>
          <w:b/>
          <w:u w:val="single"/>
        </w:rPr>
      </w:pPr>
      <w:r w:rsidRPr="00FA20E6">
        <w:rPr>
          <w:b/>
          <w:u w:val="single"/>
        </w:rPr>
        <w:t xml:space="preserve">Impact to the Practice </w:t>
      </w:r>
      <w:r w:rsidR="00FA20E6" w:rsidRPr="00FA20E6">
        <w:rPr>
          <w:b/>
          <w:u w:val="single"/>
        </w:rPr>
        <w:t>- sustainability</w:t>
      </w:r>
    </w:p>
    <w:p w:rsidR="006E45DC" w:rsidRPr="00C45007" w:rsidRDefault="00163331" w:rsidP="008123D0">
      <w:pPr>
        <w:rPr>
          <w:b/>
        </w:rPr>
      </w:pPr>
      <w:r w:rsidRPr="00163331">
        <w:t>Once the development is complete the practice list size will recover, and will grow from the impact of the increased number of homes</w:t>
      </w:r>
      <w:r w:rsidRPr="00C2754E">
        <w:t>.</w:t>
      </w:r>
      <w:r w:rsidR="00C2754E">
        <w:t xml:space="preserve">  However, in the six year period whilst the development is being built, practice income will be adversely affected.  </w:t>
      </w:r>
    </w:p>
    <w:p w:rsidR="008123D0" w:rsidRPr="00FA20E6" w:rsidRDefault="008123D0" w:rsidP="008123D0">
      <w:pPr>
        <w:rPr>
          <w:b/>
          <w:u w:val="single"/>
        </w:rPr>
      </w:pPr>
      <w:r w:rsidRPr="00FA20E6">
        <w:rPr>
          <w:b/>
          <w:u w:val="single"/>
        </w:rPr>
        <w:t>Business options</w:t>
      </w:r>
    </w:p>
    <w:p w:rsidR="00F36662" w:rsidRPr="00FA20E6" w:rsidRDefault="00F36662" w:rsidP="00984BBE">
      <w:pPr>
        <w:rPr>
          <w:b/>
          <w:bCs/>
        </w:rPr>
      </w:pPr>
      <w:r w:rsidRPr="00FA20E6">
        <w:rPr>
          <w:b/>
          <w:bCs/>
        </w:rPr>
        <w:t>Option 1</w:t>
      </w:r>
      <w:r w:rsidR="00C2754E">
        <w:rPr>
          <w:b/>
          <w:bCs/>
        </w:rPr>
        <w:t xml:space="preserve"> – Do Nothing</w:t>
      </w:r>
    </w:p>
    <w:p w:rsidR="00C45007" w:rsidRDefault="00C2754E" w:rsidP="00984BBE">
      <w:pPr>
        <w:rPr>
          <w:bCs/>
        </w:rPr>
      </w:pPr>
      <w:r>
        <w:rPr>
          <w:bCs/>
        </w:rPr>
        <w:t>If no action is taken to support the practice financially its income will continue to decline.</w:t>
      </w:r>
    </w:p>
    <w:p w:rsidR="00C2754E" w:rsidRDefault="00C2754E" w:rsidP="00C2754E">
      <w:pPr>
        <w:rPr>
          <w:b/>
          <w:bCs/>
        </w:rPr>
      </w:pPr>
      <w:r>
        <w:rPr>
          <w:b/>
          <w:bCs/>
        </w:rPr>
        <w:t xml:space="preserve">Risks </w:t>
      </w:r>
    </w:p>
    <w:p w:rsidR="00C2754E" w:rsidRDefault="00C2754E" w:rsidP="00C2754E">
      <w:pPr>
        <w:pStyle w:val="ListParagraph"/>
        <w:numPr>
          <w:ilvl w:val="0"/>
          <w:numId w:val="5"/>
        </w:numPr>
        <w:rPr>
          <w:bCs/>
        </w:rPr>
      </w:pPr>
      <w:r>
        <w:rPr>
          <w:bCs/>
        </w:rPr>
        <w:t>The practice may not be financially viable and may close.  Remaining residents will have to register at other practices locally, which may cause pressure on surrounding practices.</w:t>
      </w:r>
      <w:r w:rsidR="00F340CA">
        <w:rPr>
          <w:bCs/>
        </w:rPr>
        <w:t xml:space="preserve">  As phases of the development is completed, there will be no GP practice on site for patients to register with, so they will have to register with practices further away.</w:t>
      </w:r>
    </w:p>
    <w:p w:rsidR="008715BA" w:rsidRDefault="008715BA" w:rsidP="00C2754E">
      <w:pPr>
        <w:pStyle w:val="ListParagraph"/>
        <w:numPr>
          <w:ilvl w:val="0"/>
          <w:numId w:val="5"/>
        </w:numPr>
        <w:rPr>
          <w:bCs/>
        </w:rPr>
      </w:pPr>
      <w:r>
        <w:rPr>
          <w:bCs/>
        </w:rPr>
        <w:t>If the practice closes the current premises will be difficult to rent to an alternative tenant and will likely remain empty until it is demolished.</w:t>
      </w:r>
    </w:p>
    <w:p w:rsidR="00F340CA" w:rsidRDefault="00F340CA" w:rsidP="00F340CA">
      <w:pPr>
        <w:pStyle w:val="ListParagraph"/>
        <w:numPr>
          <w:ilvl w:val="0"/>
          <w:numId w:val="5"/>
        </w:numPr>
        <w:rPr>
          <w:bCs/>
        </w:rPr>
      </w:pPr>
      <w:r>
        <w:rPr>
          <w:bCs/>
        </w:rPr>
        <w:t xml:space="preserve">When the development is completed there will be no existing practice to move into the new health centre.  </w:t>
      </w:r>
    </w:p>
    <w:p w:rsidR="00F340CA" w:rsidRDefault="00F340CA" w:rsidP="00F340CA">
      <w:pPr>
        <w:pStyle w:val="ListParagraph"/>
        <w:numPr>
          <w:ilvl w:val="0"/>
          <w:numId w:val="5"/>
        </w:numPr>
        <w:rPr>
          <w:bCs/>
        </w:rPr>
      </w:pPr>
      <w:r w:rsidRPr="00F340CA">
        <w:rPr>
          <w:bCs/>
        </w:rPr>
        <w:t>Commissioning a new primary care service to move into the new health centre may not be straightforward</w:t>
      </w:r>
      <w:r w:rsidR="00E843E6">
        <w:rPr>
          <w:bCs/>
        </w:rPr>
        <w:t>.</w:t>
      </w:r>
      <w:r w:rsidRPr="00F340CA">
        <w:rPr>
          <w:bCs/>
        </w:rPr>
        <w:t xml:space="preserve"> The local commissioner of primary care </w:t>
      </w:r>
      <w:r w:rsidR="00E560DB">
        <w:rPr>
          <w:bCs/>
        </w:rPr>
        <w:t>may</w:t>
      </w:r>
      <w:r w:rsidRPr="00F340CA">
        <w:rPr>
          <w:bCs/>
        </w:rPr>
        <w:t xml:space="preserve"> either have to: </w:t>
      </w:r>
    </w:p>
    <w:p w:rsidR="00F340CA" w:rsidRPr="00F340CA" w:rsidRDefault="00F340CA" w:rsidP="00F340CA">
      <w:pPr>
        <w:pStyle w:val="ListParagraph"/>
        <w:numPr>
          <w:ilvl w:val="1"/>
          <w:numId w:val="5"/>
        </w:numPr>
        <w:rPr>
          <w:bCs/>
        </w:rPr>
      </w:pPr>
      <w:r w:rsidRPr="00F340CA">
        <w:rPr>
          <w:bCs/>
        </w:rPr>
        <w:t>commission a new primary care contract</w:t>
      </w:r>
      <w:r>
        <w:rPr>
          <w:bCs/>
        </w:rPr>
        <w:t xml:space="preserve"> </w:t>
      </w:r>
      <w:r w:rsidR="00E843E6">
        <w:rPr>
          <w:bCs/>
        </w:rPr>
        <w:t>–</w:t>
      </w:r>
      <w:r>
        <w:rPr>
          <w:bCs/>
        </w:rPr>
        <w:t xml:space="preserve"> </w:t>
      </w:r>
      <w:r w:rsidR="00E843E6">
        <w:rPr>
          <w:bCs/>
        </w:rPr>
        <w:t xml:space="preserve">this may not be straightforward as there will not be an existing patient list to make the new health centre attractive to a provider.  </w:t>
      </w:r>
    </w:p>
    <w:p w:rsidR="00F340CA" w:rsidRDefault="00F340CA" w:rsidP="00F340CA">
      <w:pPr>
        <w:pStyle w:val="ListParagraph"/>
        <w:numPr>
          <w:ilvl w:val="1"/>
          <w:numId w:val="5"/>
        </w:numPr>
        <w:rPr>
          <w:bCs/>
        </w:rPr>
      </w:pPr>
      <w:r>
        <w:rPr>
          <w:bCs/>
        </w:rPr>
        <w:t>encourage an existing local GP practice to open a branch surgery</w:t>
      </w:r>
      <w:r w:rsidR="00E843E6">
        <w:rPr>
          <w:bCs/>
        </w:rPr>
        <w:t xml:space="preserve"> – branch surgeries often present logistical and financial issues for GP practices and local surgeries may not have the appetite to expand. </w:t>
      </w:r>
    </w:p>
    <w:p w:rsidR="008715BA" w:rsidRPr="008715BA" w:rsidRDefault="00E843E6" w:rsidP="008715BA">
      <w:pPr>
        <w:pStyle w:val="ListParagraph"/>
        <w:rPr>
          <w:bCs/>
        </w:rPr>
      </w:pPr>
      <w:r>
        <w:rPr>
          <w:bCs/>
        </w:rPr>
        <w:t>Alternatively,</w:t>
      </w:r>
      <w:r w:rsidR="00F340CA">
        <w:rPr>
          <w:bCs/>
        </w:rPr>
        <w:t xml:space="preserve"> the commissioner may decide that a new service is not required, as patients will have registered at alternative practices.  In this case the new development will be without a health provider and will have an unused </w:t>
      </w:r>
      <w:r>
        <w:rPr>
          <w:bCs/>
        </w:rPr>
        <w:t xml:space="preserve">healthcare </w:t>
      </w:r>
      <w:r w:rsidR="00F340CA">
        <w:rPr>
          <w:bCs/>
        </w:rPr>
        <w:t>facility.</w:t>
      </w:r>
    </w:p>
    <w:p w:rsidR="00C2754E" w:rsidRDefault="00C2754E" w:rsidP="00984BBE">
      <w:pPr>
        <w:rPr>
          <w:b/>
          <w:bCs/>
        </w:rPr>
      </w:pPr>
      <w:r>
        <w:rPr>
          <w:b/>
          <w:bCs/>
        </w:rPr>
        <w:t>Benefits</w:t>
      </w:r>
    </w:p>
    <w:p w:rsidR="00F340CA" w:rsidRDefault="00F340CA" w:rsidP="00F340CA">
      <w:pPr>
        <w:pStyle w:val="ListParagraph"/>
        <w:numPr>
          <w:ilvl w:val="0"/>
          <w:numId w:val="6"/>
        </w:numPr>
        <w:rPr>
          <w:bCs/>
        </w:rPr>
      </w:pPr>
      <w:r>
        <w:rPr>
          <w:bCs/>
        </w:rPr>
        <w:t>There is no cost to WBC</w:t>
      </w:r>
      <w:r w:rsidR="00E843E6">
        <w:rPr>
          <w:bCs/>
        </w:rPr>
        <w:t xml:space="preserve"> for this option</w:t>
      </w:r>
      <w:r>
        <w:rPr>
          <w:bCs/>
        </w:rPr>
        <w:t>.</w:t>
      </w:r>
    </w:p>
    <w:p w:rsidR="00E55BBF" w:rsidRDefault="00E55BBF" w:rsidP="00E55BBF">
      <w:pPr>
        <w:rPr>
          <w:bCs/>
        </w:rPr>
      </w:pPr>
    </w:p>
    <w:p w:rsidR="00E55BBF" w:rsidRPr="00E55BBF" w:rsidRDefault="00E55BBF" w:rsidP="00E55BBF">
      <w:pPr>
        <w:rPr>
          <w:bCs/>
        </w:rPr>
      </w:pPr>
    </w:p>
    <w:p w:rsidR="00984BBE" w:rsidRPr="00FA20E6" w:rsidRDefault="00C45007" w:rsidP="00984BBE">
      <w:pPr>
        <w:rPr>
          <w:b/>
          <w:bCs/>
        </w:rPr>
      </w:pPr>
      <w:r w:rsidRPr="00FA20E6">
        <w:rPr>
          <w:b/>
          <w:bCs/>
        </w:rPr>
        <w:t xml:space="preserve">Option </w:t>
      </w:r>
      <w:r w:rsidR="00F340CA">
        <w:rPr>
          <w:b/>
          <w:bCs/>
        </w:rPr>
        <w:t xml:space="preserve">2 – WBC </w:t>
      </w:r>
      <w:r w:rsidR="00E843E6">
        <w:rPr>
          <w:b/>
          <w:bCs/>
        </w:rPr>
        <w:t>support Sheerwater via a rent holiday on the current premises</w:t>
      </w:r>
    </w:p>
    <w:p w:rsidR="00C45007" w:rsidRDefault="006D303F" w:rsidP="00C45007">
      <w:pPr>
        <w:rPr>
          <w:bCs/>
        </w:rPr>
      </w:pPr>
      <w:r>
        <w:rPr>
          <w:bCs/>
        </w:rPr>
        <w:t xml:space="preserve">Table 1 </w:t>
      </w:r>
      <w:proofErr w:type="gramStart"/>
      <w:r>
        <w:rPr>
          <w:bCs/>
        </w:rPr>
        <w:t>shows</w:t>
      </w:r>
      <w:proofErr w:type="gramEnd"/>
      <w:r>
        <w:rPr>
          <w:bCs/>
        </w:rPr>
        <w:t xml:space="preserve"> that the practice has already suffered income loss of £28,950. </w:t>
      </w:r>
      <w:r w:rsidR="00E843E6">
        <w:rPr>
          <w:bCs/>
        </w:rPr>
        <w:t>If the practice is able to stay in its current premises rent-free until the new health centre is built it would enable the practice to remain financially viable in this interim period</w:t>
      </w:r>
      <w:r>
        <w:rPr>
          <w:bCs/>
        </w:rPr>
        <w:t>, provided that the list size does not decline steeply in the near future</w:t>
      </w:r>
      <w:r w:rsidR="00E843E6">
        <w:rPr>
          <w:bCs/>
        </w:rPr>
        <w:t>.</w:t>
      </w:r>
    </w:p>
    <w:p w:rsidR="00E843E6" w:rsidRPr="00E843E6" w:rsidRDefault="00E843E6" w:rsidP="00C45007">
      <w:pPr>
        <w:rPr>
          <w:bCs/>
        </w:rPr>
      </w:pPr>
      <w:r>
        <w:rPr>
          <w:b/>
          <w:bCs/>
        </w:rPr>
        <w:t>Risks</w:t>
      </w:r>
    </w:p>
    <w:p w:rsidR="00E843E6" w:rsidRPr="00E843E6" w:rsidRDefault="008715BA" w:rsidP="00E843E6">
      <w:pPr>
        <w:pStyle w:val="ListParagraph"/>
        <w:numPr>
          <w:ilvl w:val="0"/>
          <w:numId w:val="9"/>
        </w:numPr>
        <w:rPr>
          <w:bCs/>
        </w:rPr>
      </w:pPr>
      <w:r>
        <w:rPr>
          <w:bCs/>
        </w:rPr>
        <w:t xml:space="preserve">There is cost to WBC </w:t>
      </w:r>
      <w:r w:rsidR="00372381">
        <w:rPr>
          <w:bCs/>
        </w:rPr>
        <w:t xml:space="preserve">- </w:t>
      </w:r>
      <w:r w:rsidR="00372381">
        <w:rPr>
          <w:rFonts w:ascii="Arial" w:hAnsi="Arial"/>
          <w:snapToGrid w:val="0"/>
          <w:sz w:val="20"/>
          <w:szCs w:val="20"/>
        </w:rPr>
        <w:t>£28,12</w:t>
      </w:r>
      <w:r w:rsidR="00913B6B">
        <w:rPr>
          <w:rFonts w:ascii="Arial" w:hAnsi="Arial"/>
          <w:snapToGrid w:val="0"/>
          <w:sz w:val="20"/>
          <w:szCs w:val="20"/>
        </w:rPr>
        <w:t>0 per annum (rental costs), £7,</w:t>
      </w:r>
      <w:r w:rsidR="00372381">
        <w:rPr>
          <w:rFonts w:ascii="Arial" w:hAnsi="Arial"/>
          <w:snapToGrid w:val="0"/>
          <w:sz w:val="20"/>
          <w:szCs w:val="20"/>
        </w:rPr>
        <w:t>266 per annu</w:t>
      </w:r>
      <w:r w:rsidR="002366EE">
        <w:rPr>
          <w:rFonts w:ascii="Arial" w:hAnsi="Arial"/>
          <w:snapToGrid w:val="0"/>
          <w:sz w:val="20"/>
          <w:szCs w:val="20"/>
        </w:rPr>
        <w:t>m</w:t>
      </w:r>
      <w:r w:rsidR="00372381">
        <w:rPr>
          <w:rFonts w:ascii="Arial" w:hAnsi="Arial"/>
          <w:snapToGrid w:val="0"/>
          <w:sz w:val="20"/>
          <w:szCs w:val="20"/>
        </w:rPr>
        <w:t xml:space="preserve"> (rates). </w:t>
      </w:r>
    </w:p>
    <w:p w:rsidR="00E843E6" w:rsidRDefault="00E843E6" w:rsidP="00C45007">
      <w:pPr>
        <w:rPr>
          <w:b/>
          <w:bCs/>
        </w:rPr>
      </w:pPr>
      <w:r>
        <w:rPr>
          <w:b/>
          <w:bCs/>
        </w:rPr>
        <w:t>Benefits</w:t>
      </w:r>
    </w:p>
    <w:p w:rsidR="00E843E6" w:rsidRDefault="00E843E6" w:rsidP="00E843E6">
      <w:pPr>
        <w:pStyle w:val="ListParagraph"/>
        <w:numPr>
          <w:ilvl w:val="0"/>
          <w:numId w:val="7"/>
        </w:numPr>
        <w:rPr>
          <w:bCs/>
        </w:rPr>
      </w:pPr>
      <w:r>
        <w:rPr>
          <w:bCs/>
        </w:rPr>
        <w:t>Ensures the continuity of the current practice, which is beneficial to its existing patients, many of whom are amongst the most deprived patients in Woking borough.</w:t>
      </w:r>
    </w:p>
    <w:p w:rsidR="00E843E6" w:rsidRDefault="00E843E6" w:rsidP="00E843E6">
      <w:pPr>
        <w:pStyle w:val="ListParagraph"/>
        <w:numPr>
          <w:ilvl w:val="0"/>
          <w:numId w:val="7"/>
        </w:numPr>
        <w:rPr>
          <w:bCs/>
        </w:rPr>
      </w:pPr>
      <w:r>
        <w:rPr>
          <w:bCs/>
        </w:rPr>
        <w:t>Ensures there is a local GP practice for patients in the early phases of the development to register with, before the new health centre is built</w:t>
      </w:r>
    </w:p>
    <w:p w:rsidR="00E843E6" w:rsidRPr="00E843E6" w:rsidRDefault="00E843E6" w:rsidP="00E843E6">
      <w:pPr>
        <w:pStyle w:val="ListParagraph"/>
        <w:numPr>
          <w:ilvl w:val="0"/>
          <w:numId w:val="7"/>
        </w:numPr>
        <w:rPr>
          <w:bCs/>
        </w:rPr>
      </w:pPr>
      <w:r>
        <w:rPr>
          <w:bCs/>
        </w:rPr>
        <w:t xml:space="preserve">Ensures there is a GP practice willing to move into the new health centre once built, providing local health services to the new development, making it a more attractive </w:t>
      </w:r>
      <w:r w:rsidR="008715BA">
        <w:rPr>
          <w:bCs/>
        </w:rPr>
        <w:t>proposition to potential new residents.</w:t>
      </w:r>
    </w:p>
    <w:p w:rsidR="00FA20E6" w:rsidRDefault="00FA20E6" w:rsidP="008123D0">
      <w:pPr>
        <w:rPr>
          <w:b/>
          <w:u w:val="single"/>
        </w:rPr>
      </w:pPr>
      <w:r w:rsidRPr="00FA20E6">
        <w:rPr>
          <w:b/>
          <w:u w:val="single"/>
        </w:rPr>
        <w:t>Practice Preferred Option</w:t>
      </w:r>
    </w:p>
    <w:p w:rsidR="009C045C" w:rsidRDefault="00E77CFF" w:rsidP="008123D0">
      <w:r>
        <w:t xml:space="preserve">A joint commitment from WBC and NWS CCG to support the practice to ensure health services are available and provided to the registered population of Sheerwater.  </w:t>
      </w:r>
    </w:p>
    <w:p w:rsidR="00E77CFF" w:rsidRDefault="00E77CFF" w:rsidP="00E77CFF">
      <w:r>
        <w:t xml:space="preserve">Due to the upheaval and relocation of the residents in this area throughout the redevelopment project, and therefore financial destabilisation of the practice, year on year, WBC </w:t>
      </w:r>
      <w:r w:rsidR="009C045C">
        <w:t>could commit to providing the practice rent relief for the duration of the redevelopment</w:t>
      </w:r>
      <w:r w:rsidR="008715BA">
        <w:t>.</w:t>
      </w:r>
    </w:p>
    <w:p w:rsidR="006E14CA" w:rsidRDefault="0038137C" w:rsidP="008123D0">
      <w:r>
        <w:t xml:space="preserve">This would assist the practice with staffing issues, additional travel for possible home visits and help to stabilise the financial aspect with regard to patient population decline during the demolition and construction.  </w:t>
      </w:r>
    </w:p>
    <w:p w:rsidR="003F5319" w:rsidRDefault="003F5319"/>
    <w:p w:rsidR="003F5319" w:rsidRDefault="003F5319" w:rsidP="003F5319">
      <w:pPr>
        <w:rPr>
          <w:b/>
          <w:bCs/>
        </w:rPr>
      </w:pPr>
      <w:r>
        <w:rPr>
          <w:b/>
          <w:bCs/>
        </w:rPr>
        <w:t>Acknowledgement</w:t>
      </w:r>
      <w:r w:rsidR="00445E16">
        <w:rPr>
          <w:b/>
          <w:bCs/>
        </w:rPr>
        <w:t xml:space="preserve"> </w:t>
      </w:r>
    </w:p>
    <w:p w:rsidR="003F5319" w:rsidRPr="00445E16" w:rsidRDefault="00445E16">
      <w:r>
        <w:t>Assistance from NWS CCG in preparing this report is gratefully acknowledged.</w:t>
      </w:r>
    </w:p>
    <w:p w:rsidR="006D303F" w:rsidRDefault="006D303F">
      <w:r>
        <w:br w:type="page"/>
      </w:r>
    </w:p>
    <w:p w:rsidR="006D303F" w:rsidRDefault="006D303F" w:rsidP="006D303F">
      <w:pPr>
        <w:pStyle w:val="NoSpacing"/>
        <w:rPr>
          <w:b/>
        </w:rPr>
      </w:pPr>
      <w:r>
        <w:rPr>
          <w:b/>
        </w:rPr>
        <w:t>Annex – Justification for using £120 per patient payment</w:t>
      </w:r>
    </w:p>
    <w:p w:rsidR="006D303F" w:rsidRPr="00E712FF" w:rsidRDefault="006D303F" w:rsidP="006D303F">
      <w:pPr>
        <w:pStyle w:val="NoSpacing"/>
        <w:rPr>
          <w:b/>
        </w:rPr>
      </w:pPr>
    </w:p>
    <w:p w:rsidR="006D303F" w:rsidRPr="00913B6B" w:rsidRDefault="006D303F" w:rsidP="006D303F">
      <w:r w:rsidRPr="00913B6B">
        <w:t>NHS payments per patient are published annually [1] [2] [3]</w:t>
      </w:r>
      <w:r w:rsidR="00FD669A">
        <w:t xml:space="preserve"> [4]</w:t>
      </w:r>
      <w:r w:rsidR="00624AF5">
        <w:t xml:space="preserve"> [5]</w:t>
      </w:r>
    </w:p>
    <w:p w:rsidR="006D303F" w:rsidRPr="00913B6B" w:rsidRDefault="006D303F" w:rsidP="006D303F">
      <w:r w:rsidRPr="00913B6B">
        <w:t xml:space="preserve">The table below shows the average payments per registered patient for </w:t>
      </w:r>
      <w:proofErr w:type="spellStart"/>
      <w:r w:rsidRPr="00913B6B">
        <w:t>Sheerwater</w:t>
      </w:r>
      <w:proofErr w:type="spellEnd"/>
      <w:r w:rsidRPr="00913B6B">
        <w:t xml:space="preserve"> Health Centre</w:t>
      </w:r>
      <w:r w:rsidR="00544AA1">
        <w:t xml:space="preserve"> [1]-[</w:t>
      </w:r>
      <w:r w:rsidR="00624AF5">
        <w:t>5</w:t>
      </w:r>
      <w:r w:rsidR="00544AA1">
        <w:t>]</w:t>
      </w:r>
      <w:r w:rsidRPr="00913B6B">
        <w:t>.</w:t>
      </w:r>
      <w:r w:rsidR="007B6AE5">
        <w:t xml:space="preserve"> The average payments per registered patient over the last five and three years are respectively £125.48 and £130.92 respectively.</w:t>
      </w:r>
    </w:p>
    <w:p w:rsidR="006D303F" w:rsidRDefault="006D303F" w:rsidP="006D303F">
      <w:pPr>
        <w:rPr>
          <w:b/>
        </w:rPr>
      </w:pPr>
    </w:p>
    <w:tbl>
      <w:tblPr>
        <w:tblStyle w:val="TableGrid"/>
        <w:tblW w:w="0" w:type="auto"/>
        <w:tblInd w:w="0" w:type="dxa"/>
        <w:tblLook w:val="04A0" w:firstRow="1" w:lastRow="0" w:firstColumn="1" w:lastColumn="0" w:noHBand="0" w:noVBand="1"/>
      </w:tblPr>
      <w:tblGrid>
        <w:gridCol w:w="1848"/>
        <w:gridCol w:w="1848"/>
        <w:gridCol w:w="1848"/>
        <w:gridCol w:w="1849"/>
        <w:gridCol w:w="1849"/>
      </w:tblGrid>
      <w:tr w:rsidR="006D303F" w:rsidTr="006D303F">
        <w:tc>
          <w:tcPr>
            <w:tcW w:w="1848" w:type="dxa"/>
            <w:tcBorders>
              <w:top w:val="single" w:sz="4" w:space="0" w:color="auto"/>
              <w:left w:val="single" w:sz="4" w:space="0" w:color="auto"/>
              <w:bottom w:val="single" w:sz="4" w:space="0" w:color="auto"/>
              <w:right w:val="single" w:sz="4" w:space="0" w:color="auto"/>
            </w:tcBorders>
            <w:hideMark/>
          </w:tcPr>
          <w:p w:rsidR="006D303F" w:rsidRDefault="006D303F">
            <w:pPr>
              <w:jc w:val="center"/>
              <w:rPr>
                <w:b/>
              </w:rPr>
            </w:pPr>
            <w:r>
              <w:rPr>
                <w:b/>
              </w:rPr>
              <w:t>Year</w:t>
            </w:r>
          </w:p>
        </w:tc>
        <w:tc>
          <w:tcPr>
            <w:tcW w:w="1848" w:type="dxa"/>
            <w:tcBorders>
              <w:top w:val="single" w:sz="4" w:space="0" w:color="auto"/>
              <w:left w:val="single" w:sz="4" w:space="0" w:color="auto"/>
              <w:bottom w:val="single" w:sz="4" w:space="0" w:color="auto"/>
              <w:right w:val="single" w:sz="4" w:space="0" w:color="auto"/>
            </w:tcBorders>
            <w:hideMark/>
          </w:tcPr>
          <w:p w:rsidR="006D303F" w:rsidRDefault="006D303F">
            <w:pPr>
              <w:jc w:val="center"/>
              <w:rPr>
                <w:b/>
              </w:rPr>
            </w:pPr>
            <w:r>
              <w:rPr>
                <w:b/>
              </w:rPr>
              <w:t>Quarter used for patient data</w:t>
            </w:r>
          </w:p>
        </w:tc>
        <w:tc>
          <w:tcPr>
            <w:tcW w:w="1848" w:type="dxa"/>
            <w:tcBorders>
              <w:top w:val="single" w:sz="4" w:space="0" w:color="auto"/>
              <w:left w:val="single" w:sz="4" w:space="0" w:color="auto"/>
              <w:bottom w:val="single" w:sz="4" w:space="0" w:color="auto"/>
              <w:right w:val="single" w:sz="4" w:space="0" w:color="auto"/>
            </w:tcBorders>
            <w:hideMark/>
          </w:tcPr>
          <w:p w:rsidR="006D303F" w:rsidRDefault="006D303F">
            <w:pPr>
              <w:jc w:val="center"/>
              <w:rPr>
                <w:b/>
              </w:rPr>
            </w:pPr>
            <w:r>
              <w:rPr>
                <w:b/>
              </w:rPr>
              <w:t>Number of registered patients</w:t>
            </w:r>
          </w:p>
        </w:tc>
        <w:tc>
          <w:tcPr>
            <w:tcW w:w="1849" w:type="dxa"/>
            <w:tcBorders>
              <w:top w:val="single" w:sz="4" w:space="0" w:color="auto"/>
              <w:left w:val="single" w:sz="4" w:space="0" w:color="auto"/>
              <w:bottom w:val="single" w:sz="4" w:space="0" w:color="auto"/>
              <w:right w:val="single" w:sz="4" w:space="0" w:color="auto"/>
            </w:tcBorders>
            <w:hideMark/>
          </w:tcPr>
          <w:p w:rsidR="006D303F" w:rsidRDefault="006D303F">
            <w:pPr>
              <w:jc w:val="center"/>
              <w:rPr>
                <w:b/>
              </w:rPr>
            </w:pPr>
            <w:r>
              <w:rPr>
                <w:b/>
              </w:rPr>
              <w:t>Average payment per registered patient</w:t>
            </w:r>
          </w:p>
        </w:tc>
        <w:tc>
          <w:tcPr>
            <w:tcW w:w="1849" w:type="dxa"/>
            <w:tcBorders>
              <w:top w:val="single" w:sz="4" w:space="0" w:color="auto"/>
              <w:left w:val="single" w:sz="4" w:space="0" w:color="auto"/>
              <w:bottom w:val="single" w:sz="4" w:space="0" w:color="auto"/>
              <w:right w:val="single" w:sz="4" w:space="0" w:color="auto"/>
            </w:tcBorders>
            <w:hideMark/>
          </w:tcPr>
          <w:p w:rsidR="006D303F" w:rsidRDefault="006D303F">
            <w:pPr>
              <w:jc w:val="center"/>
              <w:rPr>
                <w:b/>
              </w:rPr>
            </w:pPr>
            <w:r>
              <w:rPr>
                <w:b/>
              </w:rPr>
              <w:t>Average payment per weighted patient</w:t>
            </w:r>
          </w:p>
        </w:tc>
      </w:tr>
      <w:tr w:rsidR="006D303F" w:rsidRPr="00913B6B" w:rsidTr="006D303F">
        <w:tc>
          <w:tcPr>
            <w:tcW w:w="1848" w:type="dxa"/>
            <w:tcBorders>
              <w:top w:val="single" w:sz="4" w:space="0" w:color="auto"/>
              <w:left w:val="single" w:sz="4" w:space="0" w:color="auto"/>
              <w:bottom w:val="single" w:sz="4" w:space="0" w:color="auto"/>
              <w:right w:val="single" w:sz="4" w:space="0" w:color="auto"/>
            </w:tcBorders>
          </w:tcPr>
          <w:p w:rsidR="006D303F" w:rsidRPr="00913B6B" w:rsidRDefault="006D303F">
            <w:pPr>
              <w:jc w:val="center"/>
            </w:pPr>
          </w:p>
          <w:p w:rsidR="006D303F" w:rsidRPr="00913B6B" w:rsidRDefault="006D303F">
            <w:pPr>
              <w:jc w:val="center"/>
            </w:pPr>
            <w:r w:rsidRPr="00913B6B">
              <w:t>2014/15</w:t>
            </w:r>
          </w:p>
          <w:p w:rsidR="006D303F" w:rsidRPr="00913B6B" w:rsidRDefault="006D303F">
            <w:pPr>
              <w:jc w:val="center"/>
            </w:pPr>
          </w:p>
        </w:tc>
        <w:tc>
          <w:tcPr>
            <w:tcW w:w="1848" w:type="dxa"/>
            <w:tcBorders>
              <w:top w:val="single" w:sz="4" w:space="0" w:color="auto"/>
              <w:left w:val="single" w:sz="4" w:space="0" w:color="auto"/>
              <w:bottom w:val="single" w:sz="4" w:space="0" w:color="auto"/>
              <w:right w:val="single" w:sz="4" w:space="0" w:color="auto"/>
            </w:tcBorders>
          </w:tcPr>
          <w:p w:rsidR="006D303F" w:rsidRPr="00913B6B" w:rsidRDefault="006D303F">
            <w:pPr>
              <w:jc w:val="center"/>
            </w:pPr>
          </w:p>
          <w:p w:rsidR="006D303F" w:rsidRPr="00913B6B" w:rsidRDefault="006D303F">
            <w:pPr>
              <w:jc w:val="center"/>
            </w:pPr>
            <w:r w:rsidRPr="00913B6B">
              <w:t>Q2</w:t>
            </w:r>
          </w:p>
        </w:tc>
        <w:tc>
          <w:tcPr>
            <w:tcW w:w="1848" w:type="dxa"/>
            <w:tcBorders>
              <w:top w:val="single" w:sz="4" w:space="0" w:color="auto"/>
              <w:left w:val="single" w:sz="4" w:space="0" w:color="auto"/>
              <w:bottom w:val="single" w:sz="4" w:space="0" w:color="auto"/>
              <w:right w:val="single" w:sz="4" w:space="0" w:color="auto"/>
            </w:tcBorders>
          </w:tcPr>
          <w:p w:rsidR="006D303F" w:rsidRPr="00913B6B" w:rsidRDefault="006D303F">
            <w:pPr>
              <w:jc w:val="center"/>
            </w:pPr>
          </w:p>
          <w:p w:rsidR="006D303F" w:rsidRPr="00913B6B" w:rsidRDefault="006D303F">
            <w:pPr>
              <w:jc w:val="center"/>
            </w:pPr>
            <w:r w:rsidRPr="00913B6B">
              <w:t>3146</w:t>
            </w:r>
          </w:p>
        </w:tc>
        <w:tc>
          <w:tcPr>
            <w:tcW w:w="1849" w:type="dxa"/>
            <w:tcBorders>
              <w:top w:val="single" w:sz="4" w:space="0" w:color="auto"/>
              <w:left w:val="single" w:sz="4" w:space="0" w:color="auto"/>
              <w:bottom w:val="single" w:sz="4" w:space="0" w:color="auto"/>
              <w:right w:val="single" w:sz="4" w:space="0" w:color="auto"/>
            </w:tcBorders>
          </w:tcPr>
          <w:p w:rsidR="006D303F" w:rsidRPr="00913B6B" w:rsidRDefault="006D303F">
            <w:pPr>
              <w:jc w:val="center"/>
            </w:pPr>
          </w:p>
          <w:p w:rsidR="006D303F" w:rsidRPr="00913B6B" w:rsidRDefault="006D303F">
            <w:pPr>
              <w:jc w:val="center"/>
            </w:pPr>
            <w:r w:rsidRPr="00913B6B">
              <w:t>£120.26</w:t>
            </w:r>
          </w:p>
        </w:tc>
        <w:tc>
          <w:tcPr>
            <w:tcW w:w="1849" w:type="dxa"/>
            <w:tcBorders>
              <w:top w:val="single" w:sz="4" w:space="0" w:color="auto"/>
              <w:left w:val="single" w:sz="4" w:space="0" w:color="auto"/>
              <w:bottom w:val="single" w:sz="4" w:space="0" w:color="auto"/>
              <w:right w:val="single" w:sz="4" w:space="0" w:color="auto"/>
            </w:tcBorders>
          </w:tcPr>
          <w:p w:rsidR="006D303F" w:rsidRPr="00913B6B" w:rsidRDefault="006D303F">
            <w:pPr>
              <w:jc w:val="center"/>
            </w:pPr>
          </w:p>
          <w:p w:rsidR="006D303F" w:rsidRPr="00913B6B" w:rsidRDefault="006D303F">
            <w:pPr>
              <w:jc w:val="center"/>
            </w:pPr>
            <w:r w:rsidRPr="00913B6B">
              <w:t>£122.27</w:t>
            </w:r>
          </w:p>
        </w:tc>
      </w:tr>
      <w:tr w:rsidR="006D303F" w:rsidRPr="00913B6B" w:rsidTr="006D303F">
        <w:tc>
          <w:tcPr>
            <w:tcW w:w="1848" w:type="dxa"/>
            <w:tcBorders>
              <w:top w:val="single" w:sz="4" w:space="0" w:color="auto"/>
              <w:left w:val="single" w:sz="4" w:space="0" w:color="auto"/>
              <w:bottom w:val="single" w:sz="4" w:space="0" w:color="auto"/>
              <w:right w:val="single" w:sz="4" w:space="0" w:color="auto"/>
            </w:tcBorders>
          </w:tcPr>
          <w:p w:rsidR="006D303F" w:rsidRPr="00913B6B" w:rsidRDefault="006D303F">
            <w:pPr>
              <w:jc w:val="center"/>
            </w:pPr>
          </w:p>
          <w:p w:rsidR="006D303F" w:rsidRPr="00913B6B" w:rsidRDefault="006D303F">
            <w:pPr>
              <w:jc w:val="center"/>
            </w:pPr>
            <w:r w:rsidRPr="00913B6B">
              <w:t>2015/16</w:t>
            </w:r>
          </w:p>
          <w:p w:rsidR="006D303F" w:rsidRPr="00913B6B" w:rsidRDefault="006D303F">
            <w:pPr>
              <w:jc w:val="center"/>
            </w:pPr>
          </w:p>
        </w:tc>
        <w:tc>
          <w:tcPr>
            <w:tcW w:w="1848" w:type="dxa"/>
            <w:tcBorders>
              <w:top w:val="single" w:sz="4" w:space="0" w:color="auto"/>
              <w:left w:val="single" w:sz="4" w:space="0" w:color="auto"/>
              <w:bottom w:val="single" w:sz="4" w:space="0" w:color="auto"/>
              <w:right w:val="single" w:sz="4" w:space="0" w:color="auto"/>
            </w:tcBorders>
          </w:tcPr>
          <w:p w:rsidR="006D303F" w:rsidRPr="00913B6B" w:rsidRDefault="006D303F">
            <w:pPr>
              <w:jc w:val="center"/>
            </w:pPr>
          </w:p>
          <w:p w:rsidR="006D303F" w:rsidRPr="00913B6B" w:rsidRDefault="006D303F">
            <w:pPr>
              <w:jc w:val="center"/>
            </w:pPr>
            <w:r w:rsidRPr="00913B6B">
              <w:t>Q2</w:t>
            </w:r>
          </w:p>
        </w:tc>
        <w:tc>
          <w:tcPr>
            <w:tcW w:w="1848" w:type="dxa"/>
            <w:tcBorders>
              <w:top w:val="single" w:sz="4" w:space="0" w:color="auto"/>
              <w:left w:val="single" w:sz="4" w:space="0" w:color="auto"/>
              <w:bottom w:val="single" w:sz="4" w:space="0" w:color="auto"/>
              <w:right w:val="single" w:sz="4" w:space="0" w:color="auto"/>
            </w:tcBorders>
          </w:tcPr>
          <w:p w:rsidR="006D303F" w:rsidRPr="00913B6B" w:rsidRDefault="006D303F">
            <w:pPr>
              <w:jc w:val="center"/>
            </w:pPr>
          </w:p>
          <w:p w:rsidR="006D303F" w:rsidRPr="00913B6B" w:rsidRDefault="006D303F">
            <w:pPr>
              <w:jc w:val="center"/>
            </w:pPr>
            <w:r w:rsidRPr="00913B6B">
              <w:t>3241</w:t>
            </w:r>
          </w:p>
        </w:tc>
        <w:tc>
          <w:tcPr>
            <w:tcW w:w="1849" w:type="dxa"/>
            <w:tcBorders>
              <w:top w:val="single" w:sz="4" w:space="0" w:color="auto"/>
              <w:left w:val="single" w:sz="4" w:space="0" w:color="auto"/>
              <w:bottom w:val="single" w:sz="4" w:space="0" w:color="auto"/>
              <w:right w:val="single" w:sz="4" w:space="0" w:color="auto"/>
            </w:tcBorders>
          </w:tcPr>
          <w:p w:rsidR="006D303F" w:rsidRPr="00913B6B" w:rsidRDefault="006D303F">
            <w:pPr>
              <w:jc w:val="center"/>
            </w:pPr>
          </w:p>
          <w:p w:rsidR="006D303F" w:rsidRPr="00913B6B" w:rsidRDefault="006D303F">
            <w:pPr>
              <w:jc w:val="center"/>
            </w:pPr>
            <w:r w:rsidRPr="00913B6B">
              <w:t>£121.65</w:t>
            </w:r>
          </w:p>
        </w:tc>
        <w:tc>
          <w:tcPr>
            <w:tcW w:w="1849" w:type="dxa"/>
            <w:tcBorders>
              <w:top w:val="single" w:sz="4" w:space="0" w:color="auto"/>
              <w:left w:val="single" w:sz="4" w:space="0" w:color="auto"/>
              <w:bottom w:val="single" w:sz="4" w:space="0" w:color="auto"/>
              <w:right w:val="single" w:sz="4" w:space="0" w:color="auto"/>
            </w:tcBorders>
          </w:tcPr>
          <w:p w:rsidR="006D303F" w:rsidRPr="00913B6B" w:rsidRDefault="006D303F">
            <w:pPr>
              <w:jc w:val="center"/>
            </w:pPr>
          </w:p>
          <w:p w:rsidR="006D303F" w:rsidRPr="00913B6B" w:rsidRDefault="006D303F">
            <w:pPr>
              <w:jc w:val="center"/>
            </w:pPr>
            <w:r w:rsidRPr="00913B6B">
              <w:t>£126.00</w:t>
            </w:r>
          </w:p>
        </w:tc>
      </w:tr>
      <w:tr w:rsidR="006D303F" w:rsidRPr="00913B6B" w:rsidTr="006D303F">
        <w:tc>
          <w:tcPr>
            <w:tcW w:w="1848" w:type="dxa"/>
            <w:tcBorders>
              <w:top w:val="single" w:sz="4" w:space="0" w:color="auto"/>
              <w:left w:val="single" w:sz="4" w:space="0" w:color="auto"/>
              <w:bottom w:val="single" w:sz="4" w:space="0" w:color="auto"/>
              <w:right w:val="single" w:sz="4" w:space="0" w:color="auto"/>
            </w:tcBorders>
          </w:tcPr>
          <w:p w:rsidR="006D303F" w:rsidRPr="00913B6B" w:rsidRDefault="006D303F">
            <w:pPr>
              <w:jc w:val="center"/>
            </w:pPr>
          </w:p>
          <w:p w:rsidR="006D303F" w:rsidRPr="00913B6B" w:rsidRDefault="006D303F">
            <w:pPr>
              <w:jc w:val="center"/>
            </w:pPr>
            <w:r w:rsidRPr="00913B6B">
              <w:t>2016/17</w:t>
            </w:r>
          </w:p>
          <w:p w:rsidR="006D303F" w:rsidRPr="00913B6B" w:rsidRDefault="006D303F">
            <w:pPr>
              <w:jc w:val="center"/>
            </w:pPr>
          </w:p>
        </w:tc>
        <w:tc>
          <w:tcPr>
            <w:tcW w:w="1848" w:type="dxa"/>
            <w:tcBorders>
              <w:top w:val="single" w:sz="4" w:space="0" w:color="auto"/>
              <w:left w:val="single" w:sz="4" w:space="0" w:color="auto"/>
              <w:bottom w:val="single" w:sz="4" w:space="0" w:color="auto"/>
              <w:right w:val="single" w:sz="4" w:space="0" w:color="auto"/>
            </w:tcBorders>
          </w:tcPr>
          <w:p w:rsidR="006D303F" w:rsidRPr="00913B6B" w:rsidRDefault="006D303F">
            <w:pPr>
              <w:jc w:val="center"/>
            </w:pPr>
          </w:p>
          <w:p w:rsidR="006D303F" w:rsidRPr="00913B6B" w:rsidRDefault="006D303F">
            <w:pPr>
              <w:jc w:val="center"/>
            </w:pPr>
            <w:r w:rsidRPr="00913B6B">
              <w:t>Q4</w:t>
            </w:r>
          </w:p>
        </w:tc>
        <w:tc>
          <w:tcPr>
            <w:tcW w:w="1848" w:type="dxa"/>
            <w:tcBorders>
              <w:top w:val="single" w:sz="4" w:space="0" w:color="auto"/>
              <w:left w:val="single" w:sz="4" w:space="0" w:color="auto"/>
              <w:bottom w:val="single" w:sz="4" w:space="0" w:color="auto"/>
              <w:right w:val="single" w:sz="4" w:space="0" w:color="auto"/>
            </w:tcBorders>
          </w:tcPr>
          <w:p w:rsidR="006D303F" w:rsidRPr="00913B6B" w:rsidRDefault="006D303F">
            <w:pPr>
              <w:jc w:val="center"/>
            </w:pPr>
          </w:p>
          <w:p w:rsidR="006D303F" w:rsidRPr="00913B6B" w:rsidRDefault="006D303F">
            <w:pPr>
              <w:jc w:val="center"/>
            </w:pPr>
            <w:r w:rsidRPr="00913B6B">
              <w:t>3228</w:t>
            </w:r>
          </w:p>
        </w:tc>
        <w:tc>
          <w:tcPr>
            <w:tcW w:w="1849" w:type="dxa"/>
            <w:tcBorders>
              <w:top w:val="single" w:sz="4" w:space="0" w:color="auto"/>
              <w:left w:val="single" w:sz="4" w:space="0" w:color="auto"/>
              <w:bottom w:val="single" w:sz="4" w:space="0" w:color="auto"/>
              <w:right w:val="single" w:sz="4" w:space="0" w:color="auto"/>
            </w:tcBorders>
          </w:tcPr>
          <w:p w:rsidR="006D303F" w:rsidRPr="00913B6B" w:rsidRDefault="006D303F">
            <w:pPr>
              <w:jc w:val="center"/>
            </w:pPr>
          </w:p>
          <w:p w:rsidR="006D303F" w:rsidRPr="00913B6B" w:rsidRDefault="006D303F">
            <w:pPr>
              <w:jc w:val="center"/>
            </w:pPr>
            <w:r w:rsidRPr="00913B6B">
              <w:t>£123.89</w:t>
            </w:r>
          </w:p>
        </w:tc>
        <w:tc>
          <w:tcPr>
            <w:tcW w:w="1849" w:type="dxa"/>
            <w:tcBorders>
              <w:top w:val="single" w:sz="4" w:space="0" w:color="auto"/>
              <w:left w:val="single" w:sz="4" w:space="0" w:color="auto"/>
              <w:bottom w:val="single" w:sz="4" w:space="0" w:color="auto"/>
              <w:right w:val="single" w:sz="4" w:space="0" w:color="auto"/>
            </w:tcBorders>
          </w:tcPr>
          <w:p w:rsidR="006D303F" w:rsidRPr="00913B6B" w:rsidRDefault="006D303F">
            <w:pPr>
              <w:jc w:val="center"/>
            </w:pPr>
          </w:p>
          <w:p w:rsidR="006D303F" w:rsidRPr="00913B6B" w:rsidRDefault="006D303F">
            <w:pPr>
              <w:jc w:val="center"/>
            </w:pPr>
            <w:r w:rsidRPr="00913B6B">
              <w:t>£129.71</w:t>
            </w:r>
          </w:p>
        </w:tc>
      </w:tr>
      <w:tr w:rsidR="00FD669A" w:rsidRPr="00913B6B" w:rsidTr="006D303F">
        <w:tc>
          <w:tcPr>
            <w:tcW w:w="1848" w:type="dxa"/>
            <w:tcBorders>
              <w:top w:val="single" w:sz="4" w:space="0" w:color="auto"/>
              <w:left w:val="single" w:sz="4" w:space="0" w:color="auto"/>
              <w:bottom w:val="single" w:sz="4" w:space="0" w:color="auto"/>
              <w:right w:val="single" w:sz="4" w:space="0" w:color="auto"/>
            </w:tcBorders>
          </w:tcPr>
          <w:p w:rsidR="00FD669A" w:rsidRPr="00913B6B" w:rsidRDefault="00FD669A" w:rsidP="00025F81">
            <w:pPr>
              <w:jc w:val="center"/>
            </w:pPr>
          </w:p>
          <w:p w:rsidR="00FD669A" w:rsidRPr="00913B6B" w:rsidRDefault="00FD669A" w:rsidP="00025F81">
            <w:pPr>
              <w:jc w:val="center"/>
            </w:pPr>
            <w:r w:rsidRPr="00913B6B">
              <w:t>201</w:t>
            </w:r>
            <w:r>
              <w:t>7</w:t>
            </w:r>
            <w:r w:rsidRPr="00913B6B">
              <w:t>/1</w:t>
            </w:r>
            <w:r>
              <w:t>8</w:t>
            </w:r>
          </w:p>
          <w:p w:rsidR="00FD669A" w:rsidRPr="00913B6B" w:rsidRDefault="00FD669A" w:rsidP="00025F81">
            <w:pPr>
              <w:jc w:val="center"/>
            </w:pPr>
          </w:p>
        </w:tc>
        <w:tc>
          <w:tcPr>
            <w:tcW w:w="1848" w:type="dxa"/>
            <w:tcBorders>
              <w:top w:val="single" w:sz="4" w:space="0" w:color="auto"/>
              <w:left w:val="single" w:sz="4" w:space="0" w:color="auto"/>
              <w:bottom w:val="single" w:sz="4" w:space="0" w:color="auto"/>
              <w:right w:val="single" w:sz="4" w:space="0" w:color="auto"/>
            </w:tcBorders>
          </w:tcPr>
          <w:p w:rsidR="00FD669A" w:rsidRPr="00913B6B" w:rsidRDefault="00FD669A" w:rsidP="00025F81">
            <w:pPr>
              <w:jc w:val="center"/>
            </w:pPr>
          </w:p>
          <w:p w:rsidR="00FD669A" w:rsidRPr="00913B6B" w:rsidRDefault="00FD669A" w:rsidP="00025F81">
            <w:pPr>
              <w:jc w:val="center"/>
            </w:pPr>
            <w:r w:rsidRPr="00913B6B">
              <w:t>Q4</w:t>
            </w:r>
          </w:p>
        </w:tc>
        <w:tc>
          <w:tcPr>
            <w:tcW w:w="1848" w:type="dxa"/>
            <w:tcBorders>
              <w:top w:val="single" w:sz="4" w:space="0" w:color="auto"/>
              <w:left w:val="single" w:sz="4" w:space="0" w:color="auto"/>
              <w:bottom w:val="single" w:sz="4" w:space="0" w:color="auto"/>
              <w:right w:val="single" w:sz="4" w:space="0" w:color="auto"/>
            </w:tcBorders>
          </w:tcPr>
          <w:p w:rsidR="00FD669A" w:rsidRPr="00913B6B" w:rsidRDefault="00FD669A" w:rsidP="00025F81">
            <w:pPr>
              <w:jc w:val="center"/>
            </w:pPr>
          </w:p>
          <w:p w:rsidR="00FD669A" w:rsidRPr="00913B6B" w:rsidRDefault="00FD669A" w:rsidP="00FD669A">
            <w:pPr>
              <w:jc w:val="center"/>
            </w:pPr>
            <w:r w:rsidRPr="00913B6B">
              <w:t>3</w:t>
            </w:r>
            <w:r>
              <w:t>160</w:t>
            </w:r>
          </w:p>
        </w:tc>
        <w:tc>
          <w:tcPr>
            <w:tcW w:w="1849" w:type="dxa"/>
            <w:tcBorders>
              <w:top w:val="single" w:sz="4" w:space="0" w:color="auto"/>
              <w:left w:val="single" w:sz="4" w:space="0" w:color="auto"/>
              <w:bottom w:val="single" w:sz="4" w:space="0" w:color="auto"/>
              <w:right w:val="single" w:sz="4" w:space="0" w:color="auto"/>
            </w:tcBorders>
          </w:tcPr>
          <w:p w:rsidR="00FD669A" w:rsidRPr="00913B6B" w:rsidRDefault="00FD669A" w:rsidP="00025F81">
            <w:pPr>
              <w:jc w:val="center"/>
            </w:pPr>
          </w:p>
          <w:p w:rsidR="00FD669A" w:rsidRPr="00913B6B" w:rsidRDefault="00FD669A" w:rsidP="00FD669A">
            <w:pPr>
              <w:jc w:val="center"/>
            </w:pPr>
            <w:r w:rsidRPr="00913B6B">
              <w:t>£1</w:t>
            </w:r>
            <w:r>
              <w:t>38</w:t>
            </w:r>
            <w:r w:rsidRPr="00913B6B">
              <w:t>.</w:t>
            </w:r>
            <w:r>
              <w:t>13</w:t>
            </w:r>
          </w:p>
        </w:tc>
        <w:tc>
          <w:tcPr>
            <w:tcW w:w="1849" w:type="dxa"/>
            <w:tcBorders>
              <w:top w:val="single" w:sz="4" w:space="0" w:color="auto"/>
              <w:left w:val="single" w:sz="4" w:space="0" w:color="auto"/>
              <w:bottom w:val="single" w:sz="4" w:space="0" w:color="auto"/>
              <w:right w:val="single" w:sz="4" w:space="0" w:color="auto"/>
            </w:tcBorders>
          </w:tcPr>
          <w:p w:rsidR="00FD669A" w:rsidRPr="00913B6B" w:rsidRDefault="00FD669A" w:rsidP="00025F81">
            <w:pPr>
              <w:jc w:val="center"/>
            </w:pPr>
          </w:p>
          <w:p w:rsidR="00FD669A" w:rsidRPr="00913B6B" w:rsidRDefault="00FD669A" w:rsidP="00FD669A">
            <w:pPr>
              <w:jc w:val="center"/>
            </w:pPr>
            <w:r w:rsidRPr="00913B6B">
              <w:t>£1</w:t>
            </w:r>
            <w:r>
              <w:t>45</w:t>
            </w:r>
            <w:r w:rsidRPr="00913B6B">
              <w:t>.</w:t>
            </w:r>
            <w:r>
              <w:t>66</w:t>
            </w:r>
          </w:p>
        </w:tc>
      </w:tr>
      <w:tr w:rsidR="0000471D" w:rsidRPr="00913B6B" w:rsidTr="004A51E2">
        <w:tc>
          <w:tcPr>
            <w:tcW w:w="1848" w:type="dxa"/>
            <w:tcBorders>
              <w:top w:val="single" w:sz="4" w:space="0" w:color="auto"/>
              <w:left w:val="single" w:sz="4" w:space="0" w:color="auto"/>
              <w:bottom w:val="single" w:sz="4" w:space="0" w:color="auto"/>
              <w:right w:val="single" w:sz="4" w:space="0" w:color="auto"/>
            </w:tcBorders>
          </w:tcPr>
          <w:p w:rsidR="0000471D" w:rsidRPr="00913B6B" w:rsidRDefault="0000471D" w:rsidP="004A51E2">
            <w:pPr>
              <w:jc w:val="center"/>
            </w:pPr>
          </w:p>
          <w:p w:rsidR="0000471D" w:rsidRPr="00913B6B" w:rsidRDefault="0000471D" w:rsidP="004A51E2">
            <w:pPr>
              <w:jc w:val="center"/>
            </w:pPr>
            <w:r w:rsidRPr="00913B6B">
              <w:t>201</w:t>
            </w:r>
            <w:r>
              <w:t>8</w:t>
            </w:r>
            <w:r w:rsidRPr="00913B6B">
              <w:t>/1</w:t>
            </w:r>
            <w:r>
              <w:t>9</w:t>
            </w:r>
          </w:p>
          <w:p w:rsidR="0000471D" w:rsidRPr="00913B6B" w:rsidRDefault="0000471D" w:rsidP="004A51E2">
            <w:pPr>
              <w:jc w:val="center"/>
            </w:pPr>
          </w:p>
        </w:tc>
        <w:tc>
          <w:tcPr>
            <w:tcW w:w="1848" w:type="dxa"/>
            <w:tcBorders>
              <w:top w:val="single" w:sz="4" w:space="0" w:color="auto"/>
              <w:left w:val="single" w:sz="4" w:space="0" w:color="auto"/>
              <w:bottom w:val="single" w:sz="4" w:space="0" w:color="auto"/>
              <w:right w:val="single" w:sz="4" w:space="0" w:color="auto"/>
            </w:tcBorders>
          </w:tcPr>
          <w:p w:rsidR="0000471D" w:rsidRPr="00913B6B" w:rsidRDefault="0000471D" w:rsidP="004A51E2">
            <w:pPr>
              <w:jc w:val="center"/>
            </w:pPr>
          </w:p>
          <w:p w:rsidR="0000471D" w:rsidRPr="00913B6B" w:rsidRDefault="0000471D" w:rsidP="004A51E2">
            <w:pPr>
              <w:jc w:val="center"/>
            </w:pPr>
            <w:r w:rsidRPr="00913B6B">
              <w:t>Q4</w:t>
            </w:r>
          </w:p>
        </w:tc>
        <w:tc>
          <w:tcPr>
            <w:tcW w:w="1848" w:type="dxa"/>
            <w:tcBorders>
              <w:top w:val="single" w:sz="4" w:space="0" w:color="auto"/>
              <w:left w:val="single" w:sz="4" w:space="0" w:color="auto"/>
              <w:bottom w:val="single" w:sz="4" w:space="0" w:color="auto"/>
              <w:right w:val="single" w:sz="4" w:space="0" w:color="auto"/>
            </w:tcBorders>
          </w:tcPr>
          <w:p w:rsidR="0000471D" w:rsidRPr="00913B6B" w:rsidRDefault="0000471D" w:rsidP="004A51E2">
            <w:pPr>
              <w:jc w:val="center"/>
            </w:pPr>
          </w:p>
          <w:p w:rsidR="0000471D" w:rsidRPr="00913B6B" w:rsidRDefault="0000471D" w:rsidP="00E03195">
            <w:pPr>
              <w:jc w:val="center"/>
            </w:pPr>
            <w:r w:rsidRPr="00913B6B">
              <w:t>3</w:t>
            </w:r>
            <w:r>
              <w:t>0</w:t>
            </w:r>
            <w:r w:rsidR="00E03195">
              <w:t>99</w:t>
            </w:r>
          </w:p>
        </w:tc>
        <w:tc>
          <w:tcPr>
            <w:tcW w:w="1849" w:type="dxa"/>
            <w:tcBorders>
              <w:top w:val="single" w:sz="4" w:space="0" w:color="auto"/>
              <w:left w:val="single" w:sz="4" w:space="0" w:color="auto"/>
              <w:bottom w:val="single" w:sz="4" w:space="0" w:color="auto"/>
              <w:right w:val="single" w:sz="4" w:space="0" w:color="auto"/>
            </w:tcBorders>
          </w:tcPr>
          <w:p w:rsidR="0000471D" w:rsidRPr="00913B6B" w:rsidRDefault="0000471D" w:rsidP="004A51E2">
            <w:pPr>
              <w:jc w:val="center"/>
            </w:pPr>
          </w:p>
          <w:p w:rsidR="0000471D" w:rsidRPr="00913B6B" w:rsidRDefault="005833C4" w:rsidP="005833C4">
            <w:pPr>
              <w:jc w:val="center"/>
            </w:pPr>
            <w:r w:rsidRPr="00913B6B">
              <w:t>£123.</w:t>
            </w:r>
            <w:r>
              <w:t>4</w:t>
            </w:r>
            <w:r w:rsidRPr="00913B6B">
              <w:t>9</w:t>
            </w:r>
          </w:p>
        </w:tc>
        <w:tc>
          <w:tcPr>
            <w:tcW w:w="1849" w:type="dxa"/>
            <w:tcBorders>
              <w:top w:val="single" w:sz="4" w:space="0" w:color="auto"/>
              <w:left w:val="single" w:sz="4" w:space="0" w:color="auto"/>
              <w:bottom w:val="single" w:sz="4" w:space="0" w:color="auto"/>
              <w:right w:val="single" w:sz="4" w:space="0" w:color="auto"/>
            </w:tcBorders>
          </w:tcPr>
          <w:p w:rsidR="0000471D" w:rsidRPr="00913B6B" w:rsidRDefault="0000471D" w:rsidP="004A51E2">
            <w:pPr>
              <w:jc w:val="center"/>
            </w:pPr>
          </w:p>
          <w:p w:rsidR="0000471D" w:rsidRPr="00913B6B" w:rsidRDefault="005833C4" w:rsidP="005833C4">
            <w:pPr>
              <w:jc w:val="center"/>
            </w:pPr>
            <w:r w:rsidRPr="00913B6B">
              <w:t>£1</w:t>
            </w:r>
            <w:r>
              <w:t>30</w:t>
            </w:r>
            <w:r w:rsidRPr="00913B6B">
              <w:t>.</w:t>
            </w:r>
            <w:r>
              <w:t>96</w:t>
            </w:r>
          </w:p>
        </w:tc>
      </w:tr>
    </w:tbl>
    <w:p w:rsidR="006D303F" w:rsidRDefault="006D303F" w:rsidP="006D303F">
      <w:pPr>
        <w:rPr>
          <w:b/>
        </w:rPr>
      </w:pPr>
    </w:p>
    <w:p w:rsidR="00913B6B" w:rsidRDefault="00913B6B" w:rsidP="006D303F">
      <w:pPr>
        <w:rPr>
          <w:bCs/>
        </w:rPr>
      </w:pPr>
    </w:p>
    <w:p w:rsidR="00913B6B" w:rsidRDefault="00913B6B" w:rsidP="006D303F">
      <w:pPr>
        <w:rPr>
          <w:bCs/>
        </w:rPr>
      </w:pPr>
    </w:p>
    <w:p w:rsidR="006D303F" w:rsidRDefault="006D303F" w:rsidP="006D303F">
      <w:pPr>
        <w:rPr>
          <w:b/>
        </w:rPr>
      </w:pPr>
      <w:r>
        <w:rPr>
          <w:b/>
        </w:rPr>
        <w:t>Reference 1</w:t>
      </w:r>
    </w:p>
    <w:p w:rsidR="006D303F" w:rsidRDefault="00350D40" w:rsidP="006D303F">
      <w:hyperlink r:id="rId14" w:anchor="key-facts" w:history="1">
        <w:r w:rsidR="006D303F">
          <w:rPr>
            <w:rStyle w:val="Hyperlink"/>
          </w:rPr>
          <w:t>https://digital.nhs.uk/data-and-information/publications/statistical/nhs-payments-to-general-practice/nhs-payments-to-general-practice-england-</w:t>
        </w:r>
        <w:r w:rsidR="006D303F">
          <w:rPr>
            <w:rStyle w:val="Hyperlink"/>
            <w:highlight w:val="yellow"/>
          </w:rPr>
          <w:t>2014-15</w:t>
        </w:r>
        <w:r w:rsidR="006D303F">
          <w:rPr>
            <w:rStyle w:val="Hyperlink"/>
          </w:rPr>
          <w:t>#key-facts</w:t>
        </w:r>
      </w:hyperlink>
    </w:p>
    <w:p w:rsidR="006D303F" w:rsidRDefault="006D303F" w:rsidP="006D303F">
      <w:pPr>
        <w:rPr>
          <w:bCs/>
        </w:rPr>
      </w:pPr>
      <w:r>
        <w:rPr>
          <w:noProof/>
          <w:lang w:eastAsia="en-GB"/>
        </w:rPr>
        <w:drawing>
          <wp:inline distT="0" distB="0" distL="0" distR="0" wp14:anchorId="7D3EF937" wp14:editId="3457230C">
            <wp:extent cx="5731510" cy="2299952"/>
            <wp:effectExtent l="0" t="0" r="2540" b="5715"/>
            <wp:docPr id="8" name="Picture 8"/>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a:stretch>
                      <a:fillRect/>
                    </a:stretch>
                  </pic:blipFill>
                  <pic:spPr>
                    <a:xfrm>
                      <a:off x="0" y="0"/>
                      <a:ext cx="5731510" cy="2299952"/>
                    </a:xfrm>
                    <a:prstGeom prst="rect">
                      <a:avLst/>
                    </a:prstGeom>
                  </pic:spPr>
                </pic:pic>
              </a:graphicData>
            </a:graphic>
          </wp:inline>
        </w:drawing>
      </w:r>
    </w:p>
    <w:p w:rsidR="00913B6B" w:rsidRDefault="00913B6B" w:rsidP="00913B6B">
      <w:pPr>
        <w:rPr>
          <w:b/>
        </w:rPr>
      </w:pPr>
    </w:p>
    <w:p w:rsidR="00913B6B" w:rsidRDefault="00913B6B" w:rsidP="00913B6B">
      <w:pPr>
        <w:rPr>
          <w:b/>
        </w:rPr>
      </w:pPr>
    </w:p>
    <w:p w:rsidR="00913B6B" w:rsidRDefault="00913B6B" w:rsidP="00913B6B">
      <w:pPr>
        <w:rPr>
          <w:b/>
        </w:rPr>
      </w:pPr>
    </w:p>
    <w:p w:rsidR="00913B6B" w:rsidRDefault="00913B6B" w:rsidP="00913B6B">
      <w:pPr>
        <w:rPr>
          <w:b/>
        </w:rPr>
      </w:pPr>
    </w:p>
    <w:p w:rsidR="00913B6B" w:rsidRDefault="00913B6B" w:rsidP="00913B6B">
      <w:pPr>
        <w:rPr>
          <w:b/>
        </w:rPr>
      </w:pPr>
    </w:p>
    <w:p w:rsidR="00913B6B" w:rsidRDefault="00913B6B" w:rsidP="00913B6B">
      <w:pPr>
        <w:rPr>
          <w:b/>
        </w:rPr>
      </w:pPr>
    </w:p>
    <w:p w:rsidR="00913B6B" w:rsidRDefault="00913B6B" w:rsidP="00913B6B">
      <w:pPr>
        <w:rPr>
          <w:b/>
        </w:rPr>
      </w:pPr>
      <w:r>
        <w:rPr>
          <w:b/>
        </w:rPr>
        <w:t>Reference 2</w:t>
      </w:r>
    </w:p>
    <w:p w:rsidR="00913B6B" w:rsidRDefault="00350D40" w:rsidP="00913B6B">
      <w:hyperlink r:id="rId16" w:anchor="key-facts" w:history="1">
        <w:r w:rsidR="00913B6B">
          <w:rPr>
            <w:rStyle w:val="Hyperlink"/>
          </w:rPr>
          <w:t>https://digital.nhs.uk/data-and-information/publications/statistical/nhs-payments-to-general-practice/nhs-payments-to-general-practice-england-</w:t>
        </w:r>
        <w:r w:rsidR="00913B6B">
          <w:rPr>
            <w:rStyle w:val="Hyperlink"/>
            <w:highlight w:val="yellow"/>
          </w:rPr>
          <w:t>2015-16</w:t>
        </w:r>
        <w:r w:rsidR="00913B6B">
          <w:rPr>
            <w:rStyle w:val="Hyperlink"/>
          </w:rPr>
          <w:t>#key-facts</w:t>
        </w:r>
      </w:hyperlink>
    </w:p>
    <w:p w:rsidR="00913B6B" w:rsidRDefault="00913B6B" w:rsidP="00913B6B">
      <w:pPr>
        <w:rPr>
          <w:bCs/>
        </w:rPr>
      </w:pPr>
      <w:r>
        <w:rPr>
          <w:noProof/>
          <w:lang w:eastAsia="en-GB"/>
        </w:rPr>
        <w:drawing>
          <wp:inline distT="0" distB="0" distL="0" distR="0" wp14:anchorId="4EC67446" wp14:editId="52FF3717">
            <wp:extent cx="5731510" cy="2244229"/>
            <wp:effectExtent l="0" t="0" r="2540" b="381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a:stretch>
                      <a:fillRect/>
                    </a:stretch>
                  </pic:blipFill>
                  <pic:spPr>
                    <a:xfrm>
                      <a:off x="0" y="0"/>
                      <a:ext cx="5731510" cy="2244229"/>
                    </a:xfrm>
                    <a:prstGeom prst="rect">
                      <a:avLst/>
                    </a:prstGeom>
                  </pic:spPr>
                </pic:pic>
              </a:graphicData>
            </a:graphic>
          </wp:inline>
        </w:drawing>
      </w:r>
    </w:p>
    <w:p w:rsidR="005833C4" w:rsidRDefault="005833C4" w:rsidP="00913B6B">
      <w:pPr>
        <w:rPr>
          <w:b/>
        </w:rPr>
      </w:pPr>
    </w:p>
    <w:p w:rsidR="005833C4" w:rsidRDefault="005833C4" w:rsidP="00913B6B">
      <w:pPr>
        <w:rPr>
          <w:b/>
        </w:rPr>
      </w:pPr>
    </w:p>
    <w:p w:rsidR="00913B6B" w:rsidRDefault="00913B6B" w:rsidP="00913B6B">
      <w:pPr>
        <w:rPr>
          <w:b/>
        </w:rPr>
      </w:pPr>
      <w:r>
        <w:rPr>
          <w:b/>
        </w:rPr>
        <w:t>Reference 3</w:t>
      </w:r>
    </w:p>
    <w:p w:rsidR="00913B6B" w:rsidRDefault="00350D40" w:rsidP="00913B6B">
      <w:hyperlink r:id="rId18" w:anchor="key-facts" w:history="1">
        <w:r w:rsidR="00913B6B">
          <w:rPr>
            <w:rStyle w:val="Hyperlink"/>
          </w:rPr>
          <w:t>https://digital.nhs.uk/data-and-information/publications/statistical/nhs-payments-to-general-practice/nhs-payments-to-general-practice-england-</w:t>
        </w:r>
        <w:r w:rsidR="00913B6B">
          <w:rPr>
            <w:rStyle w:val="Hyperlink"/>
            <w:highlight w:val="yellow"/>
          </w:rPr>
          <w:t>2016-17</w:t>
        </w:r>
        <w:r w:rsidR="00913B6B">
          <w:rPr>
            <w:rStyle w:val="Hyperlink"/>
          </w:rPr>
          <w:t>#key-facts</w:t>
        </w:r>
      </w:hyperlink>
    </w:p>
    <w:p w:rsidR="00913B6B" w:rsidRDefault="00913B6B" w:rsidP="00913B6B">
      <w:pPr>
        <w:rPr>
          <w:bCs/>
        </w:rPr>
      </w:pPr>
      <w:r>
        <w:rPr>
          <w:noProof/>
          <w:lang w:eastAsia="en-GB"/>
        </w:rPr>
        <w:drawing>
          <wp:inline distT="0" distB="0" distL="0" distR="0" wp14:anchorId="1CAF30B0" wp14:editId="73DAAB9F">
            <wp:extent cx="5731510" cy="2155440"/>
            <wp:effectExtent l="0" t="0" r="2540" b="0"/>
            <wp:docPr id="9" name="Picture 9"/>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a:stretch>
                      <a:fillRect/>
                    </a:stretch>
                  </pic:blipFill>
                  <pic:spPr>
                    <a:xfrm>
                      <a:off x="0" y="0"/>
                      <a:ext cx="5731510" cy="2155440"/>
                    </a:xfrm>
                    <a:prstGeom prst="rect">
                      <a:avLst/>
                    </a:prstGeom>
                  </pic:spPr>
                </pic:pic>
              </a:graphicData>
            </a:graphic>
          </wp:inline>
        </w:drawing>
      </w:r>
    </w:p>
    <w:p w:rsidR="00FD669A" w:rsidRDefault="00FD669A">
      <w:pPr>
        <w:rPr>
          <w:bCs/>
        </w:rPr>
      </w:pPr>
      <w:r>
        <w:rPr>
          <w:bCs/>
        </w:rPr>
        <w:br w:type="page"/>
      </w:r>
    </w:p>
    <w:p w:rsidR="00FD669A" w:rsidRDefault="00FD669A" w:rsidP="00FD669A">
      <w:pPr>
        <w:rPr>
          <w:b/>
        </w:rPr>
      </w:pPr>
      <w:r>
        <w:rPr>
          <w:b/>
        </w:rPr>
        <w:t>Reference 4</w:t>
      </w:r>
    </w:p>
    <w:p w:rsidR="00FD669A" w:rsidRDefault="00350D40" w:rsidP="00FD669A">
      <w:hyperlink r:id="rId20" w:history="1">
        <w:r w:rsidR="00FD669A" w:rsidRPr="00FD669A">
          <w:rPr>
            <w:color w:val="0000FF"/>
            <w:u w:val="single"/>
          </w:rPr>
          <w:t>https://digital.nhs.uk/data-and-information/publications/statistical/nhs-payments-to-general-practice/england-</w:t>
        </w:r>
        <w:r w:rsidR="00FD669A" w:rsidRPr="0000471D">
          <w:rPr>
            <w:color w:val="0000FF"/>
            <w:highlight w:val="yellow"/>
            <w:u w:val="single"/>
          </w:rPr>
          <w:t>2017-18</w:t>
        </w:r>
      </w:hyperlink>
    </w:p>
    <w:p w:rsidR="00FD669A" w:rsidRDefault="00FD669A" w:rsidP="00FD669A">
      <w:pPr>
        <w:rPr>
          <w:b/>
        </w:rPr>
      </w:pPr>
      <w:r>
        <w:rPr>
          <w:noProof/>
          <w:lang w:eastAsia="en-GB"/>
        </w:rPr>
        <w:drawing>
          <wp:inline distT="0" distB="0" distL="0" distR="0" wp14:anchorId="5C316AC4" wp14:editId="6ED9C23C">
            <wp:extent cx="5731510" cy="2075047"/>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2075047"/>
                    </a:xfrm>
                    <a:prstGeom prst="rect">
                      <a:avLst/>
                    </a:prstGeom>
                  </pic:spPr>
                </pic:pic>
              </a:graphicData>
            </a:graphic>
          </wp:inline>
        </w:drawing>
      </w:r>
    </w:p>
    <w:p w:rsidR="006D303F" w:rsidRDefault="006D303F" w:rsidP="008123D0"/>
    <w:p w:rsidR="0000471D" w:rsidRDefault="0000471D" w:rsidP="0000471D">
      <w:pPr>
        <w:rPr>
          <w:b/>
        </w:rPr>
      </w:pPr>
      <w:r>
        <w:rPr>
          <w:b/>
        </w:rPr>
        <w:t>Reference 5</w:t>
      </w:r>
    </w:p>
    <w:p w:rsidR="0000471D" w:rsidRDefault="00350D40" w:rsidP="008123D0">
      <w:hyperlink r:id="rId22" w:history="1">
        <w:r w:rsidR="0000471D" w:rsidRPr="0000471D">
          <w:rPr>
            <w:color w:val="0000FF"/>
            <w:u w:val="single"/>
          </w:rPr>
          <w:t>https://digital.nhs.uk/data-and-information/publications/statistical/nhs-payments-to-general-practice/england-</w:t>
        </w:r>
        <w:r w:rsidR="0000471D" w:rsidRPr="0000471D">
          <w:rPr>
            <w:color w:val="0000FF"/>
            <w:highlight w:val="yellow"/>
            <w:u w:val="single"/>
          </w:rPr>
          <w:t>2018-19</w:t>
        </w:r>
      </w:hyperlink>
    </w:p>
    <w:p w:rsidR="0000471D" w:rsidRPr="00624AF5" w:rsidRDefault="005833C4" w:rsidP="005833C4">
      <w:r>
        <w:rPr>
          <w:noProof/>
          <w:lang w:eastAsia="en-GB"/>
        </w:rPr>
        <w:drawing>
          <wp:inline distT="0" distB="0" distL="0" distR="0" wp14:anchorId="70BBED11" wp14:editId="69B92FB8">
            <wp:extent cx="5731510" cy="2143805"/>
            <wp:effectExtent l="0" t="0" r="254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2143805"/>
                    </a:xfrm>
                    <a:prstGeom prst="rect">
                      <a:avLst/>
                    </a:prstGeom>
                  </pic:spPr>
                </pic:pic>
              </a:graphicData>
            </a:graphic>
          </wp:inline>
        </w:drawing>
      </w:r>
    </w:p>
    <w:sectPr w:rsidR="0000471D" w:rsidRPr="00624AF5" w:rsidSect="006E45DC">
      <w:headerReference w:type="even" r:id="rId24"/>
      <w:headerReference w:type="default" r:id="rId25"/>
      <w:footerReference w:type="even" r:id="rId26"/>
      <w:footerReference w:type="default" r:id="rId27"/>
      <w:headerReference w:type="first" r:id="rId28"/>
      <w:footerReference w:type="first" r:id="rId29"/>
      <w:pgSz w:w="11906" w:h="16838"/>
      <w:pgMar w:top="1077" w:right="1440" w:bottom="851"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0D40" w:rsidRDefault="00350D40" w:rsidP="00AF0A22">
      <w:pPr>
        <w:spacing w:after="0" w:line="240" w:lineRule="auto"/>
      </w:pPr>
      <w:r>
        <w:separator/>
      </w:r>
    </w:p>
  </w:endnote>
  <w:endnote w:type="continuationSeparator" w:id="0">
    <w:p w:rsidR="00350D40" w:rsidRDefault="00350D40" w:rsidP="00AF0A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5DF" w:rsidRDefault="00CD25D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5DF" w:rsidRPr="00CD25DF" w:rsidRDefault="00CD25DF" w:rsidP="00CD25DF">
    <w:pPr>
      <w:pStyle w:val="NoSpacing"/>
      <w:jc w:val="right"/>
      <w:rPr>
        <w:i/>
        <w:sz w:val="16"/>
        <w:szCs w:val="16"/>
      </w:rPr>
    </w:pPr>
    <w:r w:rsidRPr="00CD25DF">
      <w:rPr>
        <w:i/>
        <w:sz w:val="16"/>
        <w:szCs w:val="16"/>
      </w:rPr>
      <w:t>August 2019 - revised October 2019 v3</w:t>
    </w:r>
  </w:p>
  <w:p w:rsidR="00CD25DF" w:rsidRDefault="00CD25DF">
    <w:pPr>
      <w:pStyle w:val="Footer"/>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5DF" w:rsidRDefault="00CD25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0D40" w:rsidRDefault="00350D40" w:rsidP="00AF0A22">
      <w:pPr>
        <w:spacing w:after="0" w:line="240" w:lineRule="auto"/>
      </w:pPr>
      <w:r>
        <w:separator/>
      </w:r>
    </w:p>
  </w:footnote>
  <w:footnote w:type="continuationSeparator" w:id="0">
    <w:p w:rsidR="00350D40" w:rsidRDefault="00350D40" w:rsidP="00AF0A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5DF" w:rsidRDefault="00CD25D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5DF" w:rsidRDefault="00CD25D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5DF" w:rsidRDefault="00CD25D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C0CEC"/>
    <w:multiLevelType w:val="hybridMultilevel"/>
    <w:tmpl w:val="A4AA97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B136186"/>
    <w:multiLevelType w:val="hybridMultilevel"/>
    <w:tmpl w:val="3410AA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02144CD"/>
    <w:multiLevelType w:val="hybridMultilevel"/>
    <w:tmpl w:val="2868A0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A8F78D4"/>
    <w:multiLevelType w:val="hybridMultilevel"/>
    <w:tmpl w:val="0B46CA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699592D"/>
    <w:multiLevelType w:val="hybridMultilevel"/>
    <w:tmpl w:val="B936C20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C2E74CA"/>
    <w:multiLevelType w:val="hybridMultilevel"/>
    <w:tmpl w:val="7CA2B9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BEA20AF"/>
    <w:multiLevelType w:val="hybridMultilevel"/>
    <w:tmpl w:val="F54E4A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61832BF6"/>
    <w:multiLevelType w:val="hybridMultilevel"/>
    <w:tmpl w:val="76A07D8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7"/>
  </w:num>
  <w:num w:numId="2">
    <w:abstractNumId w:val="7"/>
  </w:num>
  <w:num w:numId="3">
    <w:abstractNumId w:val="5"/>
  </w:num>
  <w:num w:numId="4">
    <w:abstractNumId w:val="0"/>
  </w:num>
  <w:num w:numId="5">
    <w:abstractNumId w:val="4"/>
  </w:num>
  <w:num w:numId="6">
    <w:abstractNumId w:val="6"/>
  </w:num>
  <w:num w:numId="7">
    <w:abstractNumId w:val="1"/>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23D0"/>
    <w:rsid w:val="0000471D"/>
    <w:rsid w:val="00033F3F"/>
    <w:rsid w:val="00093E3D"/>
    <w:rsid w:val="000E1D9F"/>
    <w:rsid w:val="001208D1"/>
    <w:rsid w:val="00141A6D"/>
    <w:rsid w:val="00143FA7"/>
    <w:rsid w:val="00163331"/>
    <w:rsid w:val="0019185C"/>
    <w:rsid w:val="001A4D0D"/>
    <w:rsid w:val="001B32B5"/>
    <w:rsid w:val="001F3D2F"/>
    <w:rsid w:val="001F6EFC"/>
    <w:rsid w:val="0020395B"/>
    <w:rsid w:val="002366EE"/>
    <w:rsid w:val="00240DD3"/>
    <w:rsid w:val="0031292D"/>
    <w:rsid w:val="00350D40"/>
    <w:rsid w:val="003661D3"/>
    <w:rsid w:val="00372381"/>
    <w:rsid w:val="0038137C"/>
    <w:rsid w:val="003A1339"/>
    <w:rsid w:val="003C40AD"/>
    <w:rsid w:val="003C41F0"/>
    <w:rsid w:val="003E3159"/>
    <w:rsid w:val="003F5319"/>
    <w:rsid w:val="00445E16"/>
    <w:rsid w:val="0044651B"/>
    <w:rsid w:val="00475B6B"/>
    <w:rsid w:val="004A2CC9"/>
    <w:rsid w:val="00544AA1"/>
    <w:rsid w:val="005833C4"/>
    <w:rsid w:val="005A0990"/>
    <w:rsid w:val="005A71E9"/>
    <w:rsid w:val="005C142E"/>
    <w:rsid w:val="005D03CB"/>
    <w:rsid w:val="006032DE"/>
    <w:rsid w:val="00624AF5"/>
    <w:rsid w:val="006672B5"/>
    <w:rsid w:val="006734A2"/>
    <w:rsid w:val="006D1986"/>
    <w:rsid w:val="006D303F"/>
    <w:rsid w:val="006D7BD6"/>
    <w:rsid w:val="006E14CA"/>
    <w:rsid w:val="006E45DC"/>
    <w:rsid w:val="00726DD6"/>
    <w:rsid w:val="007654E5"/>
    <w:rsid w:val="007B3D7E"/>
    <w:rsid w:val="007B6AE5"/>
    <w:rsid w:val="008123D0"/>
    <w:rsid w:val="008715BA"/>
    <w:rsid w:val="0087751C"/>
    <w:rsid w:val="00913B6B"/>
    <w:rsid w:val="00934B1F"/>
    <w:rsid w:val="00965D20"/>
    <w:rsid w:val="00984BBE"/>
    <w:rsid w:val="009A55E5"/>
    <w:rsid w:val="009C045C"/>
    <w:rsid w:val="009C0D8A"/>
    <w:rsid w:val="00A101F4"/>
    <w:rsid w:val="00A10D1C"/>
    <w:rsid w:val="00A25C89"/>
    <w:rsid w:val="00A52D75"/>
    <w:rsid w:val="00A8164E"/>
    <w:rsid w:val="00A81D4D"/>
    <w:rsid w:val="00A960B1"/>
    <w:rsid w:val="00A9626A"/>
    <w:rsid w:val="00AC6927"/>
    <w:rsid w:val="00AF0A22"/>
    <w:rsid w:val="00AF732B"/>
    <w:rsid w:val="00B05633"/>
    <w:rsid w:val="00B16D37"/>
    <w:rsid w:val="00B26806"/>
    <w:rsid w:val="00B31DE2"/>
    <w:rsid w:val="00B4020C"/>
    <w:rsid w:val="00B55D15"/>
    <w:rsid w:val="00B56577"/>
    <w:rsid w:val="00BD34FE"/>
    <w:rsid w:val="00C2754E"/>
    <w:rsid w:val="00C32055"/>
    <w:rsid w:val="00C45007"/>
    <w:rsid w:val="00C96116"/>
    <w:rsid w:val="00C96E30"/>
    <w:rsid w:val="00CD25DF"/>
    <w:rsid w:val="00CF6317"/>
    <w:rsid w:val="00D016F4"/>
    <w:rsid w:val="00D50C20"/>
    <w:rsid w:val="00DA49A1"/>
    <w:rsid w:val="00DC2795"/>
    <w:rsid w:val="00DE3D68"/>
    <w:rsid w:val="00E03195"/>
    <w:rsid w:val="00E10B0A"/>
    <w:rsid w:val="00E55BBF"/>
    <w:rsid w:val="00E560DB"/>
    <w:rsid w:val="00E712FF"/>
    <w:rsid w:val="00E77CFF"/>
    <w:rsid w:val="00E843E6"/>
    <w:rsid w:val="00F177D9"/>
    <w:rsid w:val="00F340CA"/>
    <w:rsid w:val="00F36662"/>
    <w:rsid w:val="00F42EC7"/>
    <w:rsid w:val="00F43293"/>
    <w:rsid w:val="00F953DA"/>
    <w:rsid w:val="00FA20E6"/>
    <w:rsid w:val="00FD669A"/>
    <w:rsid w:val="00FE34C9"/>
    <w:rsid w:val="00FF0B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712FF"/>
    <w:pPr>
      <w:spacing w:after="0" w:line="240" w:lineRule="auto"/>
    </w:pPr>
  </w:style>
  <w:style w:type="paragraph" w:styleId="Header">
    <w:name w:val="header"/>
    <w:basedOn w:val="Normal"/>
    <w:link w:val="HeaderChar"/>
    <w:uiPriority w:val="99"/>
    <w:unhideWhenUsed/>
    <w:rsid w:val="00AF0A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0A22"/>
  </w:style>
  <w:style w:type="paragraph" w:styleId="Footer">
    <w:name w:val="footer"/>
    <w:basedOn w:val="Normal"/>
    <w:link w:val="FooterChar"/>
    <w:uiPriority w:val="99"/>
    <w:unhideWhenUsed/>
    <w:rsid w:val="00AF0A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0A22"/>
  </w:style>
  <w:style w:type="paragraph" w:styleId="ListParagraph">
    <w:name w:val="List Paragraph"/>
    <w:basedOn w:val="Normal"/>
    <w:uiPriority w:val="34"/>
    <w:qFormat/>
    <w:rsid w:val="00A81D4D"/>
    <w:pPr>
      <w:ind w:left="720"/>
      <w:contextualSpacing/>
    </w:pPr>
  </w:style>
  <w:style w:type="paragraph" w:styleId="BalloonText">
    <w:name w:val="Balloon Text"/>
    <w:basedOn w:val="Normal"/>
    <w:link w:val="BalloonTextChar"/>
    <w:uiPriority w:val="99"/>
    <w:semiHidden/>
    <w:unhideWhenUsed/>
    <w:rsid w:val="00C96E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6E30"/>
    <w:rPr>
      <w:rFonts w:ascii="Tahoma" w:hAnsi="Tahoma" w:cs="Tahoma"/>
      <w:sz w:val="16"/>
      <w:szCs w:val="16"/>
    </w:rPr>
  </w:style>
  <w:style w:type="table" w:styleId="TableGrid">
    <w:name w:val="Table Grid"/>
    <w:basedOn w:val="TableNormal"/>
    <w:uiPriority w:val="59"/>
    <w:rsid w:val="006D303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6D303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712FF"/>
    <w:pPr>
      <w:spacing w:after="0" w:line="240" w:lineRule="auto"/>
    </w:pPr>
  </w:style>
  <w:style w:type="paragraph" w:styleId="Header">
    <w:name w:val="header"/>
    <w:basedOn w:val="Normal"/>
    <w:link w:val="HeaderChar"/>
    <w:uiPriority w:val="99"/>
    <w:unhideWhenUsed/>
    <w:rsid w:val="00AF0A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0A22"/>
  </w:style>
  <w:style w:type="paragraph" w:styleId="Footer">
    <w:name w:val="footer"/>
    <w:basedOn w:val="Normal"/>
    <w:link w:val="FooterChar"/>
    <w:uiPriority w:val="99"/>
    <w:unhideWhenUsed/>
    <w:rsid w:val="00AF0A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0A22"/>
  </w:style>
  <w:style w:type="paragraph" w:styleId="ListParagraph">
    <w:name w:val="List Paragraph"/>
    <w:basedOn w:val="Normal"/>
    <w:uiPriority w:val="34"/>
    <w:qFormat/>
    <w:rsid w:val="00A81D4D"/>
    <w:pPr>
      <w:ind w:left="720"/>
      <w:contextualSpacing/>
    </w:pPr>
  </w:style>
  <w:style w:type="paragraph" w:styleId="BalloonText">
    <w:name w:val="Balloon Text"/>
    <w:basedOn w:val="Normal"/>
    <w:link w:val="BalloonTextChar"/>
    <w:uiPriority w:val="99"/>
    <w:semiHidden/>
    <w:unhideWhenUsed/>
    <w:rsid w:val="00C96E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6E30"/>
    <w:rPr>
      <w:rFonts w:ascii="Tahoma" w:hAnsi="Tahoma" w:cs="Tahoma"/>
      <w:sz w:val="16"/>
      <w:szCs w:val="16"/>
    </w:rPr>
  </w:style>
  <w:style w:type="table" w:styleId="TableGrid">
    <w:name w:val="Table Grid"/>
    <w:basedOn w:val="TableNormal"/>
    <w:uiPriority w:val="59"/>
    <w:rsid w:val="006D303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6D303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708183">
      <w:bodyDiv w:val="1"/>
      <w:marLeft w:val="0"/>
      <w:marRight w:val="0"/>
      <w:marTop w:val="0"/>
      <w:marBottom w:val="0"/>
      <w:divBdr>
        <w:top w:val="none" w:sz="0" w:space="0" w:color="auto"/>
        <w:left w:val="none" w:sz="0" w:space="0" w:color="auto"/>
        <w:bottom w:val="none" w:sz="0" w:space="0" w:color="auto"/>
        <w:right w:val="none" w:sz="0" w:space="0" w:color="auto"/>
      </w:divBdr>
    </w:div>
    <w:div w:id="773944351">
      <w:bodyDiv w:val="1"/>
      <w:marLeft w:val="0"/>
      <w:marRight w:val="0"/>
      <w:marTop w:val="0"/>
      <w:marBottom w:val="0"/>
      <w:divBdr>
        <w:top w:val="none" w:sz="0" w:space="0" w:color="auto"/>
        <w:left w:val="none" w:sz="0" w:space="0" w:color="auto"/>
        <w:bottom w:val="none" w:sz="0" w:space="0" w:color="auto"/>
        <w:right w:val="none" w:sz="0" w:space="0" w:color="auto"/>
      </w:divBdr>
    </w:div>
    <w:div w:id="1018656364">
      <w:bodyDiv w:val="1"/>
      <w:marLeft w:val="0"/>
      <w:marRight w:val="0"/>
      <w:marTop w:val="0"/>
      <w:marBottom w:val="0"/>
      <w:divBdr>
        <w:top w:val="none" w:sz="0" w:space="0" w:color="auto"/>
        <w:left w:val="none" w:sz="0" w:space="0" w:color="auto"/>
        <w:bottom w:val="none" w:sz="0" w:space="0" w:color="auto"/>
        <w:right w:val="none" w:sz="0" w:space="0" w:color="auto"/>
      </w:divBdr>
    </w:div>
    <w:div w:id="1502544727">
      <w:bodyDiv w:val="1"/>
      <w:marLeft w:val="0"/>
      <w:marRight w:val="0"/>
      <w:marTop w:val="0"/>
      <w:marBottom w:val="0"/>
      <w:divBdr>
        <w:top w:val="none" w:sz="0" w:space="0" w:color="auto"/>
        <w:left w:val="none" w:sz="0" w:space="0" w:color="auto"/>
        <w:bottom w:val="none" w:sz="0" w:space="0" w:color="auto"/>
        <w:right w:val="none" w:sz="0" w:space="0" w:color="auto"/>
      </w:divBdr>
    </w:div>
    <w:div w:id="1556156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hyperlink" Target="https://digital.nhs.uk/data-and-information/publications/statistical/nhs-payments-to-general-practice/nhs-payments-to-general-practice-england-2016-17"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5.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digital.nhs.uk/data-and-information/publications/statistical/nhs-payments-to-general-practice/nhs-payments-to-general-practice-england-2015-16" TargetMode="External"/><Relationship Id="rId20" Type="http://schemas.openxmlformats.org/officeDocument/2006/relationships/hyperlink" Target="https://digital.nhs.uk/data-and-information/publications/statistical/nhs-payments-to-general-practice/england-2017-18"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eader" Target="header3.xml"/><Relationship Id="rId10" Type="http://schemas.openxmlformats.org/officeDocument/2006/relationships/chart" Target="charts/chart1.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igital.nhs.uk/data-and-information/publications/statistical/nhs-payments-to-general-practice/nhs-payments-to-general-practice-england-2014-15" TargetMode="External"/><Relationship Id="rId22" Type="http://schemas.openxmlformats.org/officeDocument/2006/relationships/hyperlink" Target="https://digital.nhs.uk/data-and-information/publications/statistical/nhs-payments-to-general-practice/england-2018-19" TargetMode="External"/><Relationship Id="rId27" Type="http://schemas.openxmlformats.org/officeDocument/2006/relationships/footer" Target="footer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Sheet1!$C$2</c:f>
              <c:strCache>
                <c:ptCount val="1"/>
                <c:pt idx="0">
                  <c:v>List size</c:v>
                </c:pt>
              </c:strCache>
            </c:strRef>
          </c:tx>
          <c:invertIfNegative val="0"/>
          <c:dLbls>
            <c:showLegendKey val="0"/>
            <c:showVal val="1"/>
            <c:showCatName val="0"/>
            <c:showSerName val="0"/>
            <c:showPercent val="0"/>
            <c:showBubbleSize val="0"/>
            <c:showLeaderLines val="0"/>
          </c:dLbls>
          <c:cat>
            <c:strRef>
              <c:f>Sheet1!$B$3:$B$22</c:f>
              <c:strCache>
                <c:ptCount val="20"/>
                <c:pt idx="0">
                  <c:v>q1-2015</c:v>
                </c:pt>
                <c:pt idx="1">
                  <c:v>q2-2015</c:v>
                </c:pt>
                <c:pt idx="2">
                  <c:v>q3-2015</c:v>
                </c:pt>
                <c:pt idx="3">
                  <c:v>q4-2015</c:v>
                </c:pt>
                <c:pt idx="4">
                  <c:v>q1-2016</c:v>
                </c:pt>
                <c:pt idx="5">
                  <c:v>q2-2016</c:v>
                </c:pt>
                <c:pt idx="6">
                  <c:v>q3-2016</c:v>
                </c:pt>
                <c:pt idx="7">
                  <c:v>q4-2016</c:v>
                </c:pt>
                <c:pt idx="8">
                  <c:v>q1-2017</c:v>
                </c:pt>
                <c:pt idx="9">
                  <c:v>q2-2017</c:v>
                </c:pt>
                <c:pt idx="10">
                  <c:v>q3-2017</c:v>
                </c:pt>
                <c:pt idx="11">
                  <c:v>q4-2017</c:v>
                </c:pt>
                <c:pt idx="12">
                  <c:v>q1-2018</c:v>
                </c:pt>
                <c:pt idx="13">
                  <c:v>q2-2018</c:v>
                </c:pt>
                <c:pt idx="14">
                  <c:v>q3-2018</c:v>
                </c:pt>
                <c:pt idx="15">
                  <c:v>q4-2018</c:v>
                </c:pt>
                <c:pt idx="16">
                  <c:v>q1-2019</c:v>
                </c:pt>
                <c:pt idx="17">
                  <c:v>q2-2019</c:v>
                </c:pt>
                <c:pt idx="18">
                  <c:v>q3-2019</c:v>
                </c:pt>
                <c:pt idx="19">
                  <c:v>q4-2019</c:v>
                </c:pt>
              </c:strCache>
            </c:strRef>
          </c:cat>
          <c:val>
            <c:numRef>
              <c:f>Sheet1!$C$3:$C$22</c:f>
              <c:numCache>
                <c:formatCode>General</c:formatCode>
                <c:ptCount val="20"/>
                <c:pt idx="0">
                  <c:v>3180</c:v>
                </c:pt>
                <c:pt idx="1">
                  <c:v>3227</c:v>
                </c:pt>
                <c:pt idx="2">
                  <c:v>3241</c:v>
                </c:pt>
                <c:pt idx="3">
                  <c:v>3236</c:v>
                </c:pt>
                <c:pt idx="4">
                  <c:v>3240</c:v>
                </c:pt>
                <c:pt idx="5">
                  <c:v>3250</c:v>
                </c:pt>
                <c:pt idx="6">
                  <c:v>3234</c:v>
                </c:pt>
                <c:pt idx="7">
                  <c:v>3218</c:v>
                </c:pt>
                <c:pt idx="8">
                  <c:v>3228</c:v>
                </c:pt>
                <c:pt idx="9">
                  <c:v>3236</c:v>
                </c:pt>
                <c:pt idx="10">
                  <c:v>3207</c:v>
                </c:pt>
                <c:pt idx="11">
                  <c:v>3172</c:v>
                </c:pt>
                <c:pt idx="12">
                  <c:v>3160</c:v>
                </c:pt>
                <c:pt idx="13">
                  <c:v>3133</c:v>
                </c:pt>
                <c:pt idx="14">
                  <c:v>3097</c:v>
                </c:pt>
                <c:pt idx="15">
                  <c:v>3087</c:v>
                </c:pt>
                <c:pt idx="16">
                  <c:v>3077</c:v>
                </c:pt>
                <c:pt idx="17">
                  <c:v>2994</c:v>
                </c:pt>
                <c:pt idx="18">
                  <c:v>2969</c:v>
                </c:pt>
                <c:pt idx="19">
                  <c:v>2938</c:v>
                </c:pt>
              </c:numCache>
            </c:numRef>
          </c:val>
        </c:ser>
        <c:dLbls>
          <c:showLegendKey val="0"/>
          <c:showVal val="0"/>
          <c:showCatName val="0"/>
          <c:showSerName val="0"/>
          <c:showPercent val="0"/>
          <c:showBubbleSize val="0"/>
        </c:dLbls>
        <c:gapWidth val="150"/>
        <c:axId val="185840384"/>
        <c:axId val="185842304"/>
      </c:barChart>
      <c:catAx>
        <c:axId val="185840384"/>
        <c:scaling>
          <c:orientation val="minMax"/>
        </c:scaling>
        <c:delete val="0"/>
        <c:axPos val="b"/>
        <c:majorTickMark val="out"/>
        <c:minorTickMark val="none"/>
        <c:tickLblPos val="nextTo"/>
        <c:crossAx val="185842304"/>
        <c:crosses val="autoZero"/>
        <c:auto val="1"/>
        <c:lblAlgn val="ctr"/>
        <c:lblOffset val="100"/>
        <c:noMultiLvlLbl val="0"/>
      </c:catAx>
      <c:valAx>
        <c:axId val="185842304"/>
        <c:scaling>
          <c:orientation val="minMax"/>
        </c:scaling>
        <c:delete val="0"/>
        <c:axPos val="l"/>
        <c:majorGridlines/>
        <c:numFmt formatCode="General" sourceLinked="1"/>
        <c:majorTickMark val="out"/>
        <c:minorTickMark val="none"/>
        <c:tickLblPos val="nextTo"/>
        <c:crossAx val="18584038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Sheet1!$B$2</c:f>
              <c:strCache>
                <c:ptCount val="1"/>
                <c:pt idx="0">
                  <c:v>List size</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trendline>
            <c:trendlineType val="linear"/>
            <c:dispRSqr val="0"/>
            <c:dispEq val="0"/>
          </c:trendline>
          <c:cat>
            <c:strRef>
              <c:f>Sheet1!$A$3:$A$9</c:f>
              <c:strCache>
                <c:ptCount val="7"/>
                <c:pt idx="0">
                  <c:v>q1-2015</c:v>
                </c:pt>
                <c:pt idx="1">
                  <c:v>q2-2015</c:v>
                </c:pt>
                <c:pt idx="2">
                  <c:v>q3-2015</c:v>
                </c:pt>
                <c:pt idx="3">
                  <c:v>q4-2015</c:v>
                </c:pt>
                <c:pt idx="4">
                  <c:v>q1-2016</c:v>
                </c:pt>
                <c:pt idx="5">
                  <c:v>q2-2016</c:v>
                </c:pt>
                <c:pt idx="6">
                  <c:v>q3-2016</c:v>
                </c:pt>
              </c:strCache>
            </c:strRef>
          </c:cat>
          <c:val>
            <c:numRef>
              <c:f>Sheet1!$B$3:$B$9</c:f>
              <c:numCache>
                <c:formatCode>General</c:formatCode>
                <c:ptCount val="7"/>
                <c:pt idx="0">
                  <c:v>3180</c:v>
                </c:pt>
                <c:pt idx="1">
                  <c:v>3227</c:v>
                </c:pt>
                <c:pt idx="2">
                  <c:v>3241</c:v>
                </c:pt>
                <c:pt idx="3">
                  <c:v>3236</c:v>
                </c:pt>
                <c:pt idx="4">
                  <c:v>3240</c:v>
                </c:pt>
                <c:pt idx="5">
                  <c:v>3250</c:v>
                </c:pt>
                <c:pt idx="6">
                  <c:v>3234</c:v>
                </c:pt>
              </c:numCache>
            </c:numRef>
          </c:val>
          <c:smooth val="0"/>
          <c:extLst xmlns:c16r2="http://schemas.microsoft.com/office/drawing/2015/06/chart">
            <c:ext xmlns:c16="http://schemas.microsoft.com/office/drawing/2014/chart" uri="{C3380CC4-5D6E-409C-BE32-E72D297353CC}">
              <c16:uniqueId val="{00000000-6FEB-4608-9CDE-54A0C6ED958C}"/>
            </c:ext>
          </c:extLst>
        </c:ser>
        <c:dLbls>
          <c:showLegendKey val="0"/>
          <c:showVal val="0"/>
          <c:showCatName val="0"/>
          <c:showSerName val="0"/>
          <c:showPercent val="0"/>
          <c:showBubbleSize val="0"/>
        </c:dLbls>
        <c:marker val="1"/>
        <c:smooth val="0"/>
        <c:axId val="205939456"/>
        <c:axId val="205941376"/>
      </c:lineChart>
      <c:catAx>
        <c:axId val="205939456"/>
        <c:scaling>
          <c:orientation val="minMax"/>
        </c:scaling>
        <c:delete val="0"/>
        <c:axPos val="b"/>
        <c:numFmt formatCode="General" sourceLinked="0"/>
        <c:majorTickMark val="out"/>
        <c:minorTickMark val="none"/>
        <c:tickLblPos val="nextTo"/>
        <c:crossAx val="205941376"/>
        <c:crosses val="autoZero"/>
        <c:auto val="1"/>
        <c:lblAlgn val="ctr"/>
        <c:lblOffset val="100"/>
        <c:noMultiLvlLbl val="0"/>
      </c:catAx>
      <c:valAx>
        <c:axId val="205941376"/>
        <c:scaling>
          <c:orientation val="minMax"/>
        </c:scaling>
        <c:delete val="0"/>
        <c:axPos val="l"/>
        <c:majorGridlines/>
        <c:numFmt formatCode="General" sourceLinked="1"/>
        <c:majorTickMark val="out"/>
        <c:minorTickMark val="none"/>
        <c:tickLblPos val="nextTo"/>
        <c:crossAx val="20593945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Sheet1!$H$9</c:f>
              <c:strCache>
                <c:ptCount val="1"/>
                <c:pt idx="0">
                  <c:v>List size</c:v>
                </c:pt>
              </c:strCache>
            </c:strRef>
          </c:tx>
          <c:dLbls>
            <c:showLegendKey val="0"/>
            <c:showVal val="1"/>
            <c:showCatName val="0"/>
            <c:showSerName val="0"/>
            <c:showPercent val="0"/>
            <c:showBubbleSize val="0"/>
            <c:showLeaderLines val="0"/>
          </c:dLbls>
          <c:trendline>
            <c:trendlineType val="linear"/>
            <c:dispRSqr val="0"/>
            <c:dispEq val="0"/>
          </c:trendline>
          <c:cat>
            <c:strRef>
              <c:f>Sheet1!$G$10:$G$22</c:f>
              <c:strCache>
                <c:ptCount val="13"/>
                <c:pt idx="0">
                  <c:v>q4-2016</c:v>
                </c:pt>
                <c:pt idx="1">
                  <c:v>q1-2017</c:v>
                </c:pt>
                <c:pt idx="2">
                  <c:v>q2-2017</c:v>
                </c:pt>
                <c:pt idx="3">
                  <c:v>q3-2017</c:v>
                </c:pt>
                <c:pt idx="4">
                  <c:v>q4-2017</c:v>
                </c:pt>
                <c:pt idx="5">
                  <c:v>q1-2018</c:v>
                </c:pt>
                <c:pt idx="6">
                  <c:v>q2-2018</c:v>
                </c:pt>
                <c:pt idx="7">
                  <c:v>q3-2018</c:v>
                </c:pt>
                <c:pt idx="8">
                  <c:v>q4-2018</c:v>
                </c:pt>
                <c:pt idx="9">
                  <c:v>q1-2019</c:v>
                </c:pt>
                <c:pt idx="10">
                  <c:v>q2-2019</c:v>
                </c:pt>
                <c:pt idx="11">
                  <c:v>q3-2019</c:v>
                </c:pt>
                <c:pt idx="12">
                  <c:v>q4-2019</c:v>
                </c:pt>
              </c:strCache>
            </c:strRef>
          </c:cat>
          <c:val>
            <c:numRef>
              <c:f>Sheet1!$H$10:$H$22</c:f>
              <c:numCache>
                <c:formatCode>General</c:formatCode>
                <c:ptCount val="13"/>
                <c:pt idx="0">
                  <c:v>3218</c:v>
                </c:pt>
                <c:pt idx="1">
                  <c:v>3228</c:v>
                </c:pt>
                <c:pt idx="2">
                  <c:v>3236</c:v>
                </c:pt>
                <c:pt idx="3">
                  <c:v>3207</c:v>
                </c:pt>
                <c:pt idx="4">
                  <c:v>3172</c:v>
                </c:pt>
                <c:pt idx="5">
                  <c:v>3160</c:v>
                </c:pt>
                <c:pt idx="6">
                  <c:v>3133</c:v>
                </c:pt>
                <c:pt idx="7">
                  <c:v>3097</c:v>
                </c:pt>
                <c:pt idx="8">
                  <c:v>3087</c:v>
                </c:pt>
                <c:pt idx="9">
                  <c:v>3077</c:v>
                </c:pt>
                <c:pt idx="10">
                  <c:v>2994</c:v>
                </c:pt>
                <c:pt idx="11">
                  <c:v>2969</c:v>
                </c:pt>
                <c:pt idx="12">
                  <c:v>2938</c:v>
                </c:pt>
              </c:numCache>
            </c:numRef>
          </c:val>
          <c:smooth val="0"/>
        </c:ser>
        <c:dLbls>
          <c:showLegendKey val="0"/>
          <c:showVal val="0"/>
          <c:showCatName val="0"/>
          <c:showSerName val="0"/>
          <c:showPercent val="0"/>
          <c:showBubbleSize val="0"/>
        </c:dLbls>
        <c:marker val="1"/>
        <c:smooth val="0"/>
        <c:axId val="116290688"/>
        <c:axId val="116292224"/>
      </c:lineChart>
      <c:catAx>
        <c:axId val="116290688"/>
        <c:scaling>
          <c:orientation val="minMax"/>
        </c:scaling>
        <c:delete val="0"/>
        <c:axPos val="b"/>
        <c:majorTickMark val="out"/>
        <c:minorTickMark val="none"/>
        <c:tickLblPos val="nextTo"/>
        <c:crossAx val="116292224"/>
        <c:crosses val="autoZero"/>
        <c:auto val="1"/>
        <c:lblAlgn val="ctr"/>
        <c:lblOffset val="100"/>
        <c:noMultiLvlLbl val="0"/>
      </c:catAx>
      <c:valAx>
        <c:axId val="116292224"/>
        <c:scaling>
          <c:orientation val="minMax"/>
        </c:scaling>
        <c:delete val="0"/>
        <c:axPos val="l"/>
        <c:majorGridlines/>
        <c:numFmt formatCode="General" sourceLinked="1"/>
        <c:majorTickMark val="out"/>
        <c:minorTickMark val="none"/>
        <c:tickLblPos val="nextTo"/>
        <c:crossAx val="11629068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10</Pages>
  <Words>1430</Words>
  <Characters>8156</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NHS South West Commissioning Support</Company>
  <LinksUpToDate>false</LinksUpToDate>
  <CharactersWithSpaces>9567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Langlois-Pearson Gigi (North West Surrey CCG)</dc:creator>
  <cp:lastModifiedBy>Sultan</cp:lastModifiedBy>
  <cp:revision>5</cp:revision>
  <cp:lastPrinted>2019-10-08T12:17:00Z</cp:lastPrinted>
  <dcterms:created xsi:type="dcterms:W3CDTF">2019-10-08T09:39:00Z</dcterms:created>
  <dcterms:modified xsi:type="dcterms:W3CDTF">2019-10-08T12:21:00Z</dcterms:modified>
</cp:coreProperties>
</file>