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EFB1" w14:textId="77777777" w:rsidR="00B52E44" w:rsidRDefault="00000000">
      <w:pPr>
        <w:jc w:val="center"/>
        <w:rPr>
          <w:rFonts w:ascii="Arial" w:hAnsi="Arial" w:cs="Arial"/>
          <w:b/>
          <w:sz w:val="36"/>
          <w:szCs w:val="36"/>
        </w:rPr>
      </w:pPr>
      <w:r>
        <w:rPr>
          <w:rFonts w:ascii="Arial" w:hAnsi="Arial" w:cs="Arial"/>
          <w:b/>
          <w:sz w:val="36"/>
          <w:szCs w:val="36"/>
        </w:rPr>
        <w:t xml:space="preserve">Clinical Guidance Document – </w:t>
      </w:r>
    </w:p>
    <w:p w14:paraId="60B55DC6" w14:textId="77777777" w:rsidR="00B52E44" w:rsidRDefault="00000000">
      <w:pPr>
        <w:jc w:val="center"/>
        <w:rPr>
          <w:rFonts w:ascii="Arial" w:hAnsi="Arial" w:cs="Arial"/>
          <w:b/>
          <w:sz w:val="36"/>
          <w:szCs w:val="36"/>
        </w:rPr>
      </w:pPr>
      <w:r>
        <w:rPr>
          <w:rFonts w:ascii="Arial" w:hAnsi="Arial" w:cs="Arial"/>
          <w:b/>
          <w:sz w:val="36"/>
          <w:szCs w:val="36"/>
        </w:rPr>
        <w:t>Medical Emergencies</w:t>
      </w:r>
    </w:p>
    <w:p w14:paraId="28DB542A" w14:textId="77777777" w:rsidR="00B52E44" w:rsidRDefault="00B52E44">
      <w:pPr>
        <w:rPr>
          <w:rFonts w:ascii="Arial" w:hAnsi="Arial" w:cs="Arial"/>
          <w:sz w:val="28"/>
          <w:szCs w:val="28"/>
        </w:rPr>
      </w:pPr>
    </w:p>
    <w:tbl>
      <w:tblPr>
        <w:tblW w:w="10861" w:type="dxa"/>
        <w:jc w:val="center"/>
        <w:tblLayout w:type="fixed"/>
        <w:tblLook w:val="0000" w:firstRow="0" w:lastRow="0" w:firstColumn="0" w:lastColumn="0" w:noHBand="0" w:noVBand="0"/>
      </w:tblPr>
      <w:tblGrid>
        <w:gridCol w:w="1241"/>
        <w:gridCol w:w="2008"/>
        <w:gridCol w:w="1991"/>
        <w:gridCol w:w="2343"/>
        <w:gridCol w:w="3278"/>
      </w:tblGrid>
      <w:tr w:rsidR="00B52E44" w14:paraId="35C887C5" w14:textId="77777777" w:rsidTr="002F703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cPr>
          <w:p w14:paraId="0138A3EE" w14:textId="77777777" w:rsidR="00B52E44"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Version:</w:t>
            </w:r>
          </w:p>
        </w:tc>
        <w:tc>
          <w:tcPr>
            <w:tcW w:w="2008" w:type="dxa"/>
            <w:tcBorders>
              <w:top w:val="single" w:sz="4" w:space="0" w:color="333333"/>
              <w:left w:val="single" w:sz="4" w:space="0" w:color="333333"/>
              <w:bottom w:val="single" w:sz="4" w:space="0" w:color="333333"/>
              <w:right w:val="single" w:sz="4" w:space="0" w:color="333333"/>
            </w:tcBorders>
            <w:shd w:val="clear" w:color="auto" w:fill="D5DCE4"/>
          </w:tcPr>
          <w:p w14:paraId="74F59EAD" w14:textId="77777777" w:rsidR="00B52E44"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Review date:</w:t>
            </w:r>
          </w:p>
        </w:tc>
        <w:tc>
          <w:tcPr>
            <w:tcW w:w="1991" w:type="dxa"/>
            <w:tcBorders>
              <w:top w:val="single" w:sz="4" w:space="0" w:color="333333"/>
              <w:left w:val="single" w:sz="4" w:space="0" w:color="333333"/>
              <w:bottom w:val="single" w:sz="4" w:space="0" w:color="333333"/>
              <w:right w:val="single" w:sz="4" w:space="0" w:color="333333"/>
            </w:tcBorders>
            <w:shd w:val="clear" w:color="auto" w:fill="D5DCE4"/>
          </w:tcPr>
          <w:p w14:paraId="0DD53C0D" w14:textId="77777777" w:rsidR="00B52E44"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Edited by:</w:t>
            </w:r>
          </w:p>
        </w:tc>
        <w:tc>
          <w:tcPr>
            <w:tcW w:w="2343" w:type="dxa"/>
            <w:tcBorders>
              <w:top w:val="single" w:sz="4" w:space="0" w:color="333333"/>
              <w:left w:val="single" w:sz="4" w:space="0" w:color="333333"/>
              <w:bottom w:val="single" w:sz="4" w:space="0" w:color="333333"/>
              <w:right w:val="single" w:sz="4" w:space="0" w:color="333333"/>
            </w:tcBorders>
            <w:shd w:val="clear" w:color="auto" w:fill="D5DCE4"/>
          </w:tcPr>
          <w:p w14:paraId="486D7EA3" w14:textId="77777777" w:rsidR="00B52E44"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cPr>
          <w:p w14:paraId="2BA00ABC" w14:textId="77777777" w:rsidR="00B52E44"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Comments:</w:t>
            </w:r>
          </w:p>
        </w:tc>
      </w:tr>
      <w:tr w:rsidR="00B52E44" w14:paraId="0032A118" w14:textId="77777777" w:rsidTr="002F7035">
        <w:trPr>
          <w:jc w:val="center"/>
        </w:trPr>
        <w:tc>
          <w:tcPr>
            <w:tcW w:w="1241" w:type="dxa"/>
            <w:tcBorders>
              <w:top w:val="single" w:sz="4" w:space="0" w:color="333333"/>
              <w:left w:val="single" w:sz="4" w:space="0" w:color="333333"/>
              <w:bottom w:val="single" w:sz="4" w:space="0" w:color="333333"/>
              <w:right w:val="single" w:sz="4" w:space="0" w:color="333333"/>
            </w:tcBorders>
          </w:tcPr>
          <w:p w14:paraId="690D5041" w14:textId="6B34248F" w:rsidR="00B52E44" w:rsidRDefault="00542C91">
            <w:pPr>
              <w:widowControl w:val="0"/>
              <w:jc w:val="center"/>
              <w:rPr>
                <w:rFonts w:eastAsia="Arial" w:cs="Arial"/>
                <w:spacing w:val="-2"/>
                <w:sz w:val="26"/>
                <w:szCs w:val="26"/>
              </w:rPr>
            </w:pPr>
            <w:r>
              <w:rPr>
                <w:rFonts w:eastAsia="Arial" w:cs="Arial"/>
                <w:spacing w:val="-2"/>
                <w:sz w:val="26"/>
                <w:szCs w:val="26"/>
              </w:rPr>
              <w:t>v1.9</w:t>
            </w:r>
          </w:p>
        </w:tc>
        <w:tc>
          <w:tcPr>
            <w:tcW w:w="2008" w:type="dxa"/>
            <w:tcBorders>
              <w:top w:val="single" w:sz="4" w:space="0" w:color="333333"/>
              <w:left w:val="single" w:sz="4" w:space="0" w:color="333333"/>
              <w:bottom w:val="single" w:sz="4" w:space="0" w:color="333333"/>
              <w:right w:val="single" w:sz="4" w:space="0" w:color="333333"/>
            </w:tcBorders>
          </w:tcPr>
          <w:p w14:paraId="3ECCB697" w14:textId="2C66CA9A" w:rsidR="00B52E44" w:rsidRDefault="00542C91">
            <w:pPr>
              <w:widowControl w:val="0"/>
              <w:rPr>
                <w:rFonts w:eastAsia="Arial" w:cs="Arial"/>
                <w:spacing w:val="-2"/>
                <w:sz w:val="26"/>
                <w:szCs w:val="26"/>
              </w:rPr>
            </w:pPr>
            <w:r>
              <w:rPr>
                <w:rFonts w:eastAsia="Arial" w:cs="Arial"/>
                <w:spacing w:val="-2"/>
                <w:sz w:val="26"/>
                <w:szCs w:val="26"/>
              </w:rPr>
              <w:t>02/06/2023</w:t>
            </w:r>
          </w:p>
        </w:tc>
        <w:tc>
          <w:tcPr>
            <w:tcW w:w="1991" w:type="dxa"/>
            <w:tcBorders>
              <w:top w:val="single" w:sz="4" w:space="0" w:color="333333"/>
              <w:left w:val="single" w:sz="4" w:space="0" w:color="333333"/>
              <w:bottom w:val="single" w:sz="4" w:space="0" w:color="333333"/>
              <w:right w:val="single" w:sz="4" w:space="0" w:color="333333"/>
            </w:tcBorders>
          </w:tcPr>
          <w:p w14:paraId="4E8584B0" w14:textId="0C7BAAA3" w:rsidR="00B52E44" w:rsidRDefault="00542C91">
            <w:pPr>
              <w:widowControl w:val="0"/>
              <w:rPr>
                <w:rFonts w:eastAsia="Arial" w:cs="Arial"/>
                <w:spacing w:val="-2"/>
                <w:sz w:val="26"/>
                <w:szCs w:val="26"/>
              </w:rPr>
            </w:pPr>
            <w:r>
              <w:rPr>
                <w:rFonts w:eastAsia="Arial" w:cs="Arial"/>
                <w:spacing w:val="-2"/>
                <w:sz w:val="26"/>
                <w:szCs w:val="26"/>
              </w:rPr>
              <w:t>Sultan Mohamed</w:t>
            </w:r>
          </w:p>
        </w:tc>
        <w:tc>
          <w:tcPr>
            <w:tcW w:w="2343" w:type="dxa"/>
            <w:tcBorders>
              <w:top w:val="single" w:sz="4" w:space="0" w:color="333333"/>
              <w:left w:val="single" w:sz="4" w:space="0" w:color="333333"/>
              <w:bottom w:val="single" w:sz="4" w:space="0" w:color="333333"/>
              <w:right w:val="single" w:sz="4" w:space="0" w:color="333333"/>
            </w:tcBorders>
          </w:tcPr>
          <w:p w14:paraId="734038DD" w14:textId="13F67FB5" w:rsidR="00B52E44" w:rsidRDefault="002F7035">
            <w:pPr>
              <w:widowControl w:val="0"/>
              <w:rPr>
                <w:rFonts w:eastAsia="Arial" w:cs="Arial"/>
                <w:spacing w:val="-2"/>
                <w:sz w:val="26"/>
                <w:szCs w:val="26"/>
              </w:rPr>
            </w:pPr>
            <w:r>
              <w:rPr>
                <w:rFonts w:eastAsia="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tcPr>
          <w:p w14:paraId="01D269D4" w14:textId="6897FBC8" w:rsidR="00B52E44" w:rsidRDefault="00C53ADA">
            <w:pPr>
              <w:widowControl w:val="0"/>
              <w:rPr>
                <w:sz w:val="26"/>
                <w:szCs w:val="26"/>
              </w:rPr>
            </w:pPr>
            <w:r>
              <w:rPr>
                <w:sz w:val="26"/>
                <w:szCs w:val="26"/>
              </w:rPr>
              <w:t>Document under review</w:t>
            </w:r>
          </w:p>
        </w:tc>
      </w:tr>
      <w:tr w:rsidR="00B52E44" w14:paraId="2FB1DBE5" w14:textId="77777777" w:rsidTr="002F7035">
        <w:trPr>
          <w:jc w:val="center"/>
        </w:trPr>
        <w:tc>
          <w:tcPr>
            <w:tcW w:w="1241" w:type="dxa"/>
            <w:tcBorders>
              <w:top w:val="single" w:sz="4" w:space="0" w:color="333333"/>
              <w:left w:val="single" w:sz="4" w:space="0" w:color="333333"/>
              <w:bottom w:val="single" w:sz="4" w:space="0" w:color="333333"/>
              <w:right w:val="single" w:sz="4" w:space="0" w:color="333333"/>
            </w:tcBorders>
          </w:tcPr>
          <w:p w14:paraId="315AB63E" w14:textId="77777777" w:rsidR="00B52E44" w:rsidRDefault="00B52E44">
            <w:pPr>
              <w:widowControl w:val="0"/>
              <w:rPr>
                <w:sz w:val="26"/>
                <w:szCs w:val="26"/>
              </w:rPr>
            </w:pPr>
          </w:p>
        </w:tc>
        <w:tc>
          <w:tcPr>
            <w:tcW w:w="2008" w:type="dxa"/>
            <w:tcBorders>
              <w:top w:val="single" w:sz="4" w:space="0" w:color="333333"/>
              <w:left w:val="single" w:sz="4" w:space="0" w:color="333333"/>
              <w:bottom w:val="single" w:sz="4" w:space="0" w:color="333333"/>
              <w:right w:val="single" w:sz="4" w:space="0" w:color="333333"/>
            </w:tcBorders>
          </w:tcPr>
          <w:p w14:paraId="000E2C8F" w14:textId="7FF57743" w:rsidR="00B52E44" w:rsidRDefault="002F7035">
            <w:pPr>
              <w:widowControl w:val="0"/>
              <w:rPr>
                <w:sz w:val="26"/>
                <w:szCs w:val="26"/>
              </w:rPr>
            </w:pPr>
            <w:r>
              <w:rPr>
                <w:sz w:val="26"/>
                <w:szCs w:val="26"/>
              </w:rPr>
              <w:t>June 2025</w:t>
            </w:r>
          </w:p>
        </w:tc>
        <w:tc>
          <w:tcPr>
            <w:tcW w:w="1991" w:type="dxa"/>
            <w:tcBorders>
              <w:top w:val="single" w:sz="4" w:space="0" w:color="333333"/>
              <w:left w:val="single" w:sz="4" w:space="0" w:color="333333"/>
              <w:bottom w:val="single" w:sz="4" w:space="0" w:color="333333"/>
              <w:right w:val="single" w:sz="4" w:space="0" w:color="333333"/>
            </w:tcBorders>
          </w:tcPr>
          <w:p w14:paraId="3AD00A78" w14:textId="77777777" w:rsidR="00B52E44" w:rsidRDefault="00B52E44">
            <w:pPr>
              <w:widowControl w:val="0"/>
              <w:rPr>
                <w:sz w:val="26"/>
                <w:szCs w:val="26"/>
              </w:rPr>
            </w:pPr>
          </w:p>
        </w:tc>
        <w:tc>
          <w:tcPr>
            <w:tcW w:w="2343" w:type="dxa"/>
            <w:tcBorders>
              <w:top w:val="single" w:sz="4" w:space="0" w:color="333333"/>
              <w:left w:val="single" w:sz="4" w:space="0" w:color="333333"/>
              <w:bottom w:val="single" w:sz="4" w:space="0" w:color="333333"/>
              <w:right w:val="single" w:sz="4" w:space="0" w:color="333333"/>
            </w:tcBorders>
          </w:tcPr>
          <w:p w14:paraId="5A2E70FD" w14:textId="77777777" w:rsidR="00B52E44" w:rsidRDefault="00B52E44">
            <w:pPr>
              <w:widowControl w:val="0"/>
              <w:rPr>
                <w:sz w:val="26"/>
                <w:szCs w:val="26"/>
              </w:rPr>
            </w:pPr>
          </w:p>
        </w:tc>
        <w:tc>
          <w:tcPr>
            <w:tcW w:w="3278" w:type="dxa"/>
            <w:tcBorders>
              <w:top w:val="single" w:sz="4" w:space="0" w:color="333333"/>
              <w:left w:val="single" w:sz="4" w:space="0" w:color="333333"/>
              <w:bottom w:val="single" w:sz="4" w:space="0" w:color="333333"/>
              <w:right w:val="single" w:sz="4" w:space="0" w:color="333333"/>
            </w:tcBorders>
          </w:tcPr>
          <w:p w14:paraId="42B187C1" w14:textId="5961CA72" w:rsidR="00B52E44" w:rsidRDefault="002F7035">
            <w:pPr>
              <w:widowControl w:val="0"/>
              <w:rPr>
                <w:sz w:val="26"/>
                <w:szCs w:val="26"/>
              </w:rPr>
            </w:pPr>
            <w:r>
              <w:rPr>
                <w:sz w:val="26"/>
                <w:szCs w:val="26"/>
              </w:rPr>
              <w:t>Next review</w:t>
            </w:r>
          </w:p>
        </w:tc>
      </w:tr>
      <w:tr w:rsidR="00B52E44" w14:paraId="7E90469F" w14:textId="77777777" w:rsidTr="002F7035">
        <w:trPr>
          <w:jc w:val="center"/>
        </w:trPr>
        <w:tc>
          <w:tcPr>
            <w:tcW w:w="1241" w:type="dxa"/>
            <w:tcBorders>
              <w:top w:val="single" w:sz="4" w:space="0" w:color="333333"/>
              <w:left w:val="single" w:sz="4" w:space="0" w:color="333333"/>
              <w:bottom w:val="single" w:sz="4" w:space="0" w:color="333333"/>
              <w:right w:val="single" w:sz="4" w:space="0" w:color="333333"/>
            </w:tcBorders>
          </w:tcPr>
          <w:p w14:paraId="554D9F6E" w14:textId="77777777" w:rsidR="00B52E44" w:rsidRDefault="00B52E44">
            <w:pPr>
              <w:widowControl w:val="0"/>
              <w:rPr>
                <w:sz w:val="26"/>
                <w:szCs w:val="26"/>
              </w:rPr>
            </w:pPr>
          </w:p>
        </w:tc>
        <w:tc>
          <w:tcPr>
            <w:tcW w:w="2008" w:type="dxa"/>
            <w:tcBorders>
              <w:top w:val="single" w:sz="4" w:space="0" w:color="333333"/>
              <w:left w:val="single" w:sz="4" w:space="0" w:color="333333"/>
              <w:bottom w:val="single" w:sz="4" w:space="0" w:color="333333"/>
              <w:right w:val="single" w:sz="4" w:space="0" w:color="333333"/>
            </w:tcBorders>
          </w:tcPr>
          <w:p w14:paraId="1DEA247E" w14:textId="77777777" w:rsidR="00B52E44" w:rsidRDefault="00B52E44">
            <w:pPr>
              <w:widowControl w:val="0"/>
              <w:rPr>
                <w:sz w:val="26"/>
                <w:szCs w:val="26"/>
              </w:rPr>
            </w:pPr>
          </w:p>
        </w:tc>
        <w:tc>
          <w:tcPr>
            <w:tcW w:w="1991" w:type="dxa"/>
            <w:tcBorders>
              <w:top w:val="single" w:sz="4" w:space="0" w:color="333333"/>
              <w:left w:val="single" w:sz="4" w:space="0" w:color="333333"/>
              <w:bottom w:val="single" w:sz="4" w:space="0" w:color="333333"/>
              <w:right w:val="single" w:sz="4" w:space="0" w:color="333333"/>
            </w:tcBorders>
          </w:tcPr>
          <w:p w14:paraId="3A86ADF8" w14:textId="77777777" w:rsidR="00B52E44" w:rsidRDefault="00B52E44">
            <w:pPr>
              <w:widowControl w:val="0"/>
              <w:rPr>
                <w:sz w:val="26"/>
                <w:szCs w:val="26"/>
              </w:rPr>
            </w:pPr>
          </w:p>
        </w:tc>
        <w:tc>
          <w:tcPr>
            <w:tcW w:w="2343" w:type="dxa"/>
            <w:tcBorders>
              <w:top w:val="single" w:sz="4" w:space="0" w:color="333333"/>
              <w:left w:val="single" w:sz="4" w:space="0" w:color="333333"/>
              <w:bottom w:val="single" w:sz="4" w:space="0" w:color="333333"/>
              <w:right w:val="single" w:sz="4" w:space="0" w:color="333333"/>
            </w:tcBorders>
          </w:tcPr>
          <w:p w14:paraId="5BCCE5C6" w14:textId="77777777" w:rsidR="00B52E44" w:rsidRDefault="00B52E44">
            <w:pPr>
              <w:widowControl w:val="0"/>
              <w:rPr>
                <w:rFonts w:ascii="Arial" w:hAnsi="Arial" w:cs="Arial"/>
                <w:b/>
                <w:sz w:val="36"/>
                <w:szCs w:val="36"/>
              </w:rPr>
            </w:pPr>
          </w:p>
        </w:tc>
        <w:tc>
          <w:tcPr>
            <w:tcW w:w="3278" w:type="dxa"/>
            <w:tcBorders>
              <w:top w:val="single" w:sz="4" w:space="0" w:color="333333"/>
              <w:left w:val="single" w:sz="4" w:space="0" w:color="333333"/>
              <w:bottom w:val="single" w:sz="4" w:space="0" w:color="333333"/>
              <w:right w:val="single" w:sz="4" w:space="0" w:color="333333"/>
            </w:tcBorders>
          </w:tcPr>
          <w:p w14:paraId="5E97BF3C" w14:textId="77777777" w:rsidR="00B52E44" w:rsidRDefault="00B52E44">
            <w:pPr>
              <w:widowControl w:val="0"/>
              <w:rPr>
                <w:sz w:val="26"/>
                <w:szCs w:val="26"/>
              </w:rPr>
            </w:pPr>
          </w:p>
        </w:tc>
      </w:tr>
      <w:tr w:rsidR="00B52E44" w14:paraId="0FC249D2" w14:textId="77777777" w:rsidTr="002F7035">
        <w:trPr>
          <w:jc w:val="center"/>
        </w:trPr>
        <w:tc>
          <w:tcPr>
            <w:tcW w:w="1241" w:type="dxa"/>
            <w:tcBorders>
              <w:top w:val="single" w:sz="4" w:space="0" w:color="333333"/>
              <w:left w:val="single" w:sz="4" w:space="0" w:color="333333"/>
              <w:bottom w:val="single" w:sz="4" w:space="0" w:color="333333"/>
              <w:right w:val="single" w:sz="4" w:space="0" w:color="333333"/>
            </w:tcBorders>
          </w:tcPr>
          <w:p w14:paraId="7FF23C31" w14:textId="77777777" w:rsidR="00B52E44" w:rsidRDefault="00B52E44">
            <w:pPr>
              <w:widowControl w:val="0"/>
              <w:rPr>
                <w:sz w:val="26"/>
                <w:szCs w:val="26"/>
              </w:rPr>
            </w:pPr>
          </w:p>
        </w:tc>
        <w:tc>
          <w:tcPr>
            <w:tcW w:w="2008" w:type="dxa"/>
            <w:tcBorders>
              <w:top w:val="single" w:sz="4" w:space="0" w:color="333333"/>
              <w:left w:val="single" w:sz="4" w:space="0" w:color="333333"/>
              <w:bottom w:val="single" w:sz="4" w:space="0" w:color="333333"/>
              <w:right w:val="single" w:sz="4" w:space="0" w:color="333333"/>
            </w:tcBorders>
          </w:tcPr>
          <w:p w14:paraId="0AFC1C84" w14:textId="77777777" w:rsidR="00B52E44" w:rsidRDefault="00B52E44">
            <w:pPr>
              <w:widowControl w:val="0"/>
              <w:rPr>
                <w:sz w:val="26"/>
                <w:szCs w:val="26"/>
              </w:rPr>
            </w:pPr>
          </w:p>
        </w:tc>
        <w:tc>
          <w:tcPr>
            <w:tcW w:w="1991" w:type="dxa"/>
            <w:tcBorders>
              <w:top w:val="single" w:sz="4" w:space="0" w:color="333333"/>
              <w:left w:val="single" w:sz="4" w:space="0" w:color="333333"/>
              <w:bottom w:val="single" w:sz="4" w:space="0" w:color="333333"/>
              <w:right w:val="single" w:sz="4" w:space="0" w:color="333333"/>
            </w:tcBorders>
          </w:tcPr>
          <w:p w14:paraId="04DE990C" w14:textId="77777777" w:rsidR="00B52E44" w:rsidRDefault="00B52E44">
            <w:pPr>
              <w:widowControl w:val="0"/>
              <w:rPr>
                <w:sz w:val="26"/>
                <w:szCs w:val="26"/>
              </w:rPr>
            </w:pPr>
          </w:p>
        </w:tc>
        <w:tc>
          <w:tcPr>
            <w:tcW w:w="2343" w:type="dxa"/>
            <w:tcBorders>
              <w:top w:val="single" w:sz="4" w:space="0" w:color="333333"/>
              <w:left w:val="single" w:sz="4" w:space="0" w:color="333333"/>
              <w:bottom w:val="single" w:sz="4" w:space="0" w:color="333333"/>
              <w:right w:val="single" w:sz="4" w:space="0" w:color="333333"/>
            </w:tcBorders>
          </w:tcPr>
          <w:p w14:paraId="6AA21176" w14:textId="77777777" w:rsidR="00B52E44" w:rsidRDefault="00B52E44">
            <w:pPr>
              <w:widowControl w:val="0"/>
              <w:rPr>
                <w:sz w:val="26"/>
                <w:szCs w:val="26"/>
              </w:rPr>
            </w:pPr>
          </w:p>
        </w:tc>
        <w:tc>
          <w:tcPr>
            <w:tcW w:w="3278" w:type="dxa"/>
            <w:tcBorders>
              <w:top w:val="single" w:sz="4" w:space="0" w:color="333333"/>
              <w:left w:val="single" w:sz="4" w:space="0" w:color="333333"/>
              <w:bottom w:val="single" w:sz="4" w:space="0" w:color="333333"/>
              <w:right w:val="single" w:sz="4" w:space="0" w:color="333333"/>
            </w:tcBorders>
          </w:tcPr>
          <w:p w14:paraId="6684CD3B" w14:textId="77777777" w:rsidR="00B52E44" w:rsidRDefault="00B52E44">
            <w:pPr>
              <w:widowControl w:val="0"/>
              <w:rPr>
                <w:sz w:val="26"/>
                <w:szCs w:val="26"/>
              </w:rPr>
            </w:pPr>
          </w:p>
        </w:tc>
      </w:tr>
    </w:tbl>
    <w:p w14:paraId="2B96BAA8" w14:textId="77777777" w:rsidR="00B52E44" w:rsidRDefault="00B52E44">
      <w:pPr>
        <w:rPr>
          <w:rFonts w:ascii="Arial" w:hAnsi="Arial" w:cs="Arial"/>
          <w:sz w:val="28"/>
          <w:szCs w:val="28"/>
        </w:rPr>
      </w:pPr>
    </w:p>
    <w:p w14:paraId="6D1AAE26" w14:textId="77777777" w:rsidR="00542C91" w:rsidRDefault="00542C91">
      <w:pPr>
        <w:rPr>
          <w:rFonts w:ascii="Arial" w:hAnsi="Arial" w:cs="Arial"/>
          <w:b/>
          <w:sz w:val="28"/>
          <w:szCs w:val="28"/>
        </w:rPr>
      </w:pPr>
      <w:r>
        <w:rPr>
          <w:rFonts w:ascii="Arial" w:hAnsi="Arial" w:cs="Arial"/>
          <w:b/>
          <w:sz w:val="28"/>
          <w:szCs w:val="28"/>
        </w:rPr>
        <w:br w:type="page"/>
      </w:r>
    </w:p>
    <w:p w14:paraId="6145992B" w14:textId="77777777" w:rsidR="00542C91" w:rsidRDefault="00542C91">
      <w:pPr>
        <w:rPr>
          <w:rFonts w:ascii="Arial" w:hAnsi="Arial" w:cs="Arial"/>
          <w:b/>
          <w:sz w:val="28"/>
          <w:szCs w:val="28"/>
        </w:rPr>
      </w:pPr>
      <w:r>
        <w:rPr>
          <w:rFonts w:ascii="Arial" w:hAnsi="Arial" w:cs="Arial"/>
          <w:b/>
          <w:sz w:val="28"/>
          <w:szCs w:val="28"/>
        </w:rPr>
        <w:lastRenderedPageBreak/>
        <w:br w:type="page"/>
      </w:r>
    </w:p>
    <w:p w14:paraId="50838FCE" w14:textId="3397CAA3" w:rsidR="00B52E44" w:rsidRDefault="00000000">
      <w:pPr>
        <w:rPr>
          <w:rFonts w:ascii="Arial" w:hAnsi="Arial" w:cs="Arial"/>
          <w:b/>
          <w:sz w:val="28"/>
          <w:szCs w:val="28"/>
        </w:rPr>
      </w:pPr>
      <w:r>
        <w:rPr>
          <w:rFonts w:ascii="Arial" w:hAnsi="Arial" w:cs="Arial"/>
          <w:b/>
          <w:sz w:val="28"/>
          <w:szCs w:val="28"/>
        </w:rPr>
        <w:lastRenderedPageBreak/>
        <w:t>Table of contents</w:t>
      </w:r>
    </w:p>
    <w:sdt>
      <w:sdtPr>
        <w:id w:val="-1076441261"/>
        <w:docPartObj>
          <w:docPartGallery w:val="Table of Contents"/>
          <w:docPartUnique/>
        </w:docPartObj>
      </w:sdtPr>
      <w:sdtContent>
        <w:p w14:paraId="6230A455" w14:textId="77777777" w:rsidR="00B52E44" w:rsidRDefault="00000000">
          <w:pPr>
            <w:pStyle w:val="TOC1"/>
            <w:rPr>
              <w:rFonts w:asciiTheme="minorHAnsi" w:eastAsiaTheme="minorEastAsia" w:hAnsiTheme="minorHAnsi" w:cstheme="minorBidi"/>
              <w:b w:val="0"/>
              <w:bCs w:val="0"/>
              <w:caps w:val="0"/>
              <w:lang w:eastAsia="en-GB"/>
            </w:rPr>
          </w:pPr>
          <w:r>
            <w:fldChar w:fldCharType="begin"/>
          </w:r>
          <w:r>
            <w:rPr>
              <w:rStyle w:val="IndexLink"/>
              <w:caps w:val="0"/>
            </w:rPr>
            <w:instrText>TOC \o "1-3" \h</w:instrText>
          </w:r>
          <w:r>
            <w:rPr>
              <w:rStyle w:val="IndexLink"/>
              <w:caps w:val="0"/>
            </w:rPr>
            <w:fldChar w:fldCharType="separate"/>
          </w:r>
          <w:hyperlink w:anchor="_Toc119930231">
            <w:r>
              <w:rPr>
                <w:rStyle w:val="IndexLink"/>
                <w:caps w:val="0"/>
              </w:rPr>
              <w:t>1</w:t>
            </w:r>
            <w:r>
              <w:rPr>
                <w:rStyle w:val="IndexLink"/>
                <w:rFonts w:asciiTheme="minorHAnsi" w:eastAsiaTheme="minorEastAsia" w:hAnsiTheme="minorHAnsi" w:cstheme="minorBidi"/>
                <w:b w:val="0"/>
                <w:bCs w:val="0"/>
                <w:caps w:val="0"/>
                <w:lang w:eastAsia="en-GB"/>
              </w:rPr>
              <w:tab/>
            </w:r>
            <w:r>
              <w:rPr>
                <w:webHidden/>
              </w:rPr>
              <w:fldChar w:fldCharType="begin"/>
            </w:r>
            <w:r>
              <w:rPr>
                <w:webHidden/>
              </w:rPr>
              <w:instrText>PAGEREF _Toc119930231 \h</w:instrText>
            </w:r>
            <w:r>
              <w:rPr>
                <w:webHidden/>
              </w:rPr>
            </w:r>
            <w:r>
              <w:rPr>
                <w:webHidden/>
              </w:rPr>
              <w:fldChar w:fldCharType="separate"/>
            </w:r>
            <w:r>
              <w:rPr>
                <w:rStyle w:val="IndexLink"/>
                <w:caps w:val="0"/>
              </w:rPr>
              <w:t>Introduction</w:t>
            </w:r>
            <w:r>
              <w:rPr>
                <w:rStyle w:val="IndexLink"/>
                <w:caps w:val="0"/>
              </w:rPr>
              <w:tab/>
              <w:t>3</w:t>
            </w:r>
            <w:r>
              <w:rPr>
                <w:webHidden/>
              </w:rPr>
              <w:fldChar w:fldCharType="end"/>
            </w:r>
          </w:hyperlink>
        </w:p>
        <w:p w14:paraId="7F1D2A31"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32">
            <w:r>
              <w:rPr>
                <w:rStyle w:val="IndexLink"/>
                <w:rFonts w:ascii="Arial" w:hAnsi="Arial" w:cs="Arial"/>
              </w:rPr>
              <w:t>1.1</w:t>
            </w:r>
            <w:r>
              <w:rPr>
                <w:rStyle w:val="IndexLink"/>
                <w:rFonts w:eastAsiaTheme="minorEastAsia" w:cstheme="minorBidi"/>
                <w:b w:val="0"/>
                <w:bCs w:val="0"/>
                <w:sz w:val="24"/>
                <w:szCs w:val="24"/>
                <w:lang w:eastAsia="en-GB"/>
              </w:rPr>
              <w:tab/>
            </w:r>
            <w:r>
              <w:rPr>
                <w:rStyle w:val="IndexLink"/>
                <w:rFonts w:ascii="Arial" w:hAnsi="Arial" w:cs="Arial"/>
              </w:rPr>
              <w:t>Guidance statement</w:t>
            </w:r>
            <w:r>
              <w:rPr>
                <w:webHidden/>
              </w:rPr>
              <w:fldChar w:fldCharType="begin"/>
            </w:r>
            <w:r>
              <w:rPr>
                <w:webHidden/>
              </w:rPr>
              <w:instrText>PAGEREF _Toc119930232 \h</w:instrText>
            </w:r>
            <w:r>
              <w:rPr>
                <w:webHidden/>
              </w:rPr>
            </w:r>
            <w:r>
              <w:rPr>
                <w:webHidden/>
              </w:rPr>
              <w:fldChar w:fldCharType="separate"/>
            </w:r>
            <w:r>
              <w:rPr>
                <w:rStyle w:val="IndexLink"/>
              </w:rPr>
              <w:tab/>
              <w:t>3</w:t>
            </w:r>
            <w:r>
              <w:rPr>
                <w:webHidden/>
              </w:rPr>
              <w:fldChar w:fldCharType="end"/>
            </w:r>
          </w:hyperlink>
        </w:p>
        <w:p w14:paraId="1CE8876C"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33">
            <w:r>
              <w:rPr>
                <w:rStyle w:val="IndexLink"/>
                <w:rFonts w:ascii="Arial" w:hAnsi="Arial" w:cs="Arial"/>
              </w:rPr>
              <w:t>1.2</w:t>
            </w:r>
            <w:r>
              <w:rPr>
                <w:rStyle w:val="IndexLink"/>
                <w:rFonts w:eastAsiaTheme="minorEastAsia" w:cstheme="minorBidi"/>
                <w:b w:val="0"/>
                <w:bCs w:val="0"/>
                <w:sz w:val="24"/>
                <w:szCs w:val="24"/>
                <w:lang w:eastAsia="en-GB"/>
              </w:rPr>
              <w:tab/>
            </w:r>
            <w:r>
              <w:rPr>
                <w:rStyle w:val="IndexLink"/>
                <w:rFonts w:ascii="Arial" w:hAnsi="Arial" w:cs="Arial"/>
              </w:rPr>
              <w:t>Status</w:t>
            </w:r>
            <w:r>
              <w:rPr>
                <w:webHidden/>
              </w:rPr>
              <w:fldChar w:fldCharType="begin"/>
            </w:r>
            <w:r>
              <w:rPr>
                <w:webHidden/>
              </w:rPr>
              <w:instrText>PAGEREF _Toc119930233 \h</w:instrText>
            </w:r>
            <w:r>
              <w:rPr>
                <w:webHidden/>
              </w:rPr>
            </w:r>
            <w:r>
              <w:rPr>
                <w:webHidden/>
              </w:rPr>
              <w:fldChar w:fldCharType="separate"/>
            </w:r>
            <w:r>
              <w:rPr>
                <w:rStyle w:val="IndexLink"/>
              </w:rPr>
              <w:tab/>
              <w:t>4</w:t>
            </w:r>
            <w:r>
              <w:rPr>
                <w:webHidden/>
              </w:rPr>
              <w:fldChar w:fldCharType="end"/>
            </w:r>
          </w:hyperlink>
        </w:p>
        <w:p w14:paraId="1FA00A2F" w14:textId="77777777" w:rsidR="00B52E44" w:rsidRDefault="00000000">
          <w:pPr>
            <w:pStyle w:val="TOC1"/>
            <w:rPr>
              <w:rFonts w:asciiTheme="minorHAnsi" w:eastAsiaTheme="minorEastAsia" w:hAnsiTheme="minorHAnsi" w:cstheme="minorBidi"/>
              <w:b w:val="0"/>
              <w:bCs w:val="0"/>
              <w:caps w:val="0"/>
              <w:lang w:eastAsia="en-GB"/>
            </w:rPr>
          </w:pPr>
          <w:hyperlink w:anchor="_Toc119930234">
            <w:r>
              <w:rPr>
                <w:rStyle w:val="IndexLink"/>
                <w:caps w:val="0"/>
              </w:rPr>
              <w:t>2</w:t>
            </w:r>
            <w:r>
              <w:rPr>
                <w:rStyle w:val="IndexLink"/>
                <w:rFonts w:asciiTheme="minorHAnsi" w:eastAsiaTheme="minorEastAsia" w:hAnsiTheme="minorHAnsi" w:cstheme="minorBidi"/>
                <w:b w:val="0"/>
                <w:bCs w:val="0"/>
                <w:caps w:val="0"/>
                <w:lang w:eastAsia="en-GB"/>
              </w:rPr>
              <w:tab/>
            </w:r>
            <w:r>
              <w:rPr>
                <w:webHidden/>
              </w:rPr>
              <w:fldChar w:fldCharType="begin"/>
            </w:r>
            <w:r>
              <w:rPr>
                <w:webHidden/>
              </w:rPr>
              <w:instrText>PAGEREF _Toc119930234 \h</w:instrText>
            </w:r>
            <w:r>
              <w:rPr>
                <w:webHidden/>
              </w:rPr>
            </w:r>
            <w:r>
              <w:rPr>
                <w:webHidden/>
              </w:rPr>
              <w:fldChar w:fldCharType="separate"/>
            </w:r>
            <w:r>
              <w:rPr>
                <w:rStyle w:val="IndexLink"/>
                <w:caps w:val="0"/>
              </w:rPr>
              <w:t>Emergencies in general practice</w:t>
            </w:r>
            <w:r>
              <w:rPr>
                <w:rStyle w:val="IndexLink"/>
                <w:caps w:val="0"/>
              </w:rPr>
              <w:tab/>
              <w:t>4</w:t>
            </w:r>
            <w:r>
              <w:rPr>
                <w:webHidden/>
              </w:rPr>
              <w:fldChar w:fldCharType="end"/>
            </w:r>
          </w:hyperlink>
        </w:p>
        <w:p w14:paraId="59B37FA5"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35">
            <w:r>
              <w:rPr>
                <w:rStyle w:val="IndexLink"/>
                <w:rFonts w:ascii="Arial" w:hAnsi="Arial" w:cs="Arial"/>
              </w:rPr>
              <w:t>2.1</w:t>
            </w:r>
            <w:r>
              <w:rPr>
                <w:rStyle w:val="IndexLink"/>
                <w:rFonts w:eastAsiaTheme="minorEastAsia" w:cstheme="minorBidi"/>
                <w:b w:val="0"/>
                <w:bCs w:val="0"/>
                <w:sz w:val="24"/>
                <w:szCs w:val="24"/>
                <w:lang w:eastAsia="en-GB"/>
              </w:rPr>
              <w:tab/>
            </w:r>
            <w:r>
              <w:rPr>
                <w:rStyle w:val="IndexLink"/>
                <w:rFonts w:ascii="Arial" w:hAnsi="Arial" w:cs="Arial"/>
              </w:rPr>
              <w:t>Early diagnosis</w:t>
            </w:r>
            <w:r>
              <w:rPr>
                <w:webHidden/>
              </w:rPr>
              <w:fldChar w:fldCharType="begin"/>
            </w:r>
            <w:r>
              <w:rPr>
                <w:webHidden/>
              </w:rPr>
              <w:instrText>PAGEREF _Toc119930235 \h</w:instrText>
            </w:r>
            <w:r>
              <w:rPr>
                <w:webHidden/>
              </w:rPr>
            </w:r>
            <w:r>
              <w:rPr>
                <w:webHidden/>
              </w:rPr>
              <w:fldChar w:fldCharType="separate"/>
            </w:r>
            <w:r>
              <w:rPr>
                <w:rStyle w:val="IndexLink"/>
              </w:rPr>
              <w:tab/>
              <w:t>4</w:t>
            </w:r>
            <w:r>
              <w:rPr>
                <w:webHidden/>
              </w:rPr>
              <w:fldChar w:fldCharType="end"/>
            </w:r>
          </w:hyperlink>
        </w:p>
        <w:p w14:paraId="5634BD39"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36">
            <w:r>
              <w:rPr>
                <w:rStyle w:val="IndexLink"/>
                <w:rFonts w:ascii="Arial" w:hAnsi="Arial" w:cs="Arial"/>
              </w:rPr>
              <w:t>2.2</w:t>
            </w:r>
            <w:r>
              <w:rPr>
                <w:rStyle w:val="IndexLink"/>
                <w:rFonts w:eastAsiaTheme="minorEastAsia" w:cstheme="minorBidi"/>
                <w:b w:val="0"/>
                <w:bCs w:val="0"/>
                <w:sz w:val="24"/>
                <w:szCs w:val="24"/>
                <w:lang w:eastAsia="en-GB"/>
              </w:rPr>
              <w:tab/>
            </w:r>
            <w:r>
              <w:rPr>
                <w:rStyle w:val="IndexLink"/>
                <w:rFonts w:ascii="Arial" w:hAnsi="Arial" w:cs="Arial"/>
              </w:rPr>
              <w:t>Classifications of medical emergencies</w:t>
            </w:r>
            <w:r>
              <w:rPr>
                <w:webHidden/>
              </w:rPr>
              <w:fldChar w:fldCharType="begin"/>
            </w:r>
            <w:r>
              <w:rPr>
                <w:webHidden/>
              </w:rPr>
              <w:instrText>PAGEREF _Toc119930236 \h</w:instrText>
            </w:r>
            <w:r>
              <w:rPr>
                <w:webHidden/>
              </w:rPr>
            </w:r>
            <w:r>
              <w:rPr>
                <w:webHidden/>
              </w:rPr>
              <w:fldChar w:fldCharType="separate"/>
            </w:r>
            <w:r>
              <w:rPr>
                <w:rStyle w:val="IndexLink"/>
              </w:rPr>
              <w:tab/>
              <w:t>4</w:t>
            </w:r>
            <w:r>
              <w:rPr>
                <w:webHidden/>
              </w:rPr>
              <w:fldChar w:fldCharType="end"/>
            </w:r>
          </w:hyperlink>
        </w:p>
        <w:p w14:paraId="404C1D35"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37">
            <w:r>
              <w:rPr>
                <w:rStyle w:val="IndexLink"/>
                <w:rFonts w:ascii="Arial" w:hAnsi="Arial" w:cs="Arial"/>
              </w:rPr>
              <w:t>2.3</w:t>
            </w:r>
            <w:r>
              <w:rPr>
                <w:rStyle w:val="IndexLink"/>
                <w:rFonts w:eastAsiaTheme="minorEastAsia" w:cstheme="minorBidi"/>
                <w:b w:val="0"/>
                <w:bCs w:val="0"/>
                <w:sz w:val="24"/>
                <w:szCs w:val="24"/>
                <w:lang w:eastAsia="en-GB"/>
              </w:rPr>
              <w:tab/>
            </w:r>
            <w:r>
              <w:rPr>
                <w:rStyle w:val="IndexLink"/>
                <w:rFonts w:ascii="Arial" w:hAnsi="Arial" w:cs="Arial"/>
              </w:rPr>
              <w:t>Initial management by clinicians</w:t>
            </w:r>
            <w:r>
              <w:rPr>
                <w:webHidden/>
              </w:rPr>
              <w:fldChar w:fldCharType="begin"/>
            </w:r>
            <w:r>
              <w:rPr>
                <w:webHidden/>
              </w:rPr>
              <w:instrText>PAGEREF _Toc119930237 \h</w:instrText>
            </w:r>
            <w:r>
              <w:rPr>
                <w:webHidden/>
              </w:rPr>
            </w:r>
            <w:r>
              <w:rPr>
                <w:webHidden/>
              </w:rPr>
              <w:fldChar w:fldCharType="separate"/>
            </w:r>
            <w:r>
              <w:rPr>
                <w:rStyle w:val="IndexLink"/>
              </w:rPr>
              <w:tab/>
              <w:t>5</w:t>
            </w:r>
            <w:r>
              <w:rPr>
                <w:webHidden/>
              </w:rPr>
              <w:fldChar w:fldCharType="end"/>
            </w:r>
          </w:hyperlink>
        </w:p>
        <w:p w14:paraId="43094A81"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38">
            <w:r>
              <w:rPr>
                <w:rStyle w:val="IndexLink"/>
                <w:rFonts w:ascii="Arial" w:hAnsi="Arial" w:cs="Arial"/>
              </w:rPr>
              <w:t>2.4</w:t>
            </w:r>
            <w:r>
              <w:rPr>
                <w:rStyle w:val="IndexLink"/>
                <w:rFonts w:eastAsiaTheme="minorEastAsia" w:cstheme="minorBidi"/>
                <w:b w:val="0"/>
                <w:bCs w:val="0"/>
                <w:sz w:val="24"/>
                <w:szCs w:val="24"/>
                <w:lang w:eastAsia="en-GB"/>
              </w:rPr>
              <w:tab/>
            </w:r>
            <w:r>
              <w:rPr>
                <w:rStyle w:val="IndexLink"/>
                <w:rFonts w:ascii="Arial" w:hAnsi="Arial" w:cs="Arial"/>
              </w:rPr>
              <w:t>ABCDE approach to resuscitation</w:t>
            </w:r>
            <w:r>
              <w:rPr>
                <w:webHidden/>
              </w:rPr>
              <w:fldChar w:fldCharType="begin"/>
            </w:r>
            <w:r>
              <w:rPr>
                <w:webHidden/>
              </w:rPr>
              <w:instrText>PAGEREF _Toc119930238 \h</w:instrText>
            </w:r>
            <w:r>
              <w:rPr>
                <w:webHidden/>
              </w:rPr>
            </w:r>
            <w:r>
              <w:rPr>
                <w:webHidden/>
              </w:rPr>
              <w:fldChar w:fldCharType="separate"/>
            </w:r>
            <w:r>
              <w:rPr>
                <w:rStyle w:val="IndexLink"/>
              </w:rPr>
              <w:tab/>
              <w:t>5</w:t>
            </w:r>
            <w:r>
              <w:rPr>
                <w:webHidden/>
              </w:rPr>
              <w:fldChar w:fldCharType="end"/>
            </w:r>
          </w:hyperlink>
        </w:p>
        <w:p w14:paraId="567BFEF1"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39">
            <w:r>
              <w:rPr>
                <w:rStyle w:val="IndexLink"/>
                <w:rFonts w:ascii="Arial" w:hAnsi="Arial" w:cs="Arial"/>
              </w:rPr>
              <w:t>2.5</w:t>
            </w:r>
            <w:r>
              <w:rPr>
                <w:rStyle w:val="IndexLink"/>
                <w:rFonts w:eastAsiaTheme="minorEastAsia" w:cstheme="minorBidi"/>
                <w:b w:val="0"/>
                <w:bCs w:val="0"/>
                <w:sz w:val="24"/>
                <w:szCs w:val="24"/>
                <w:lang w:eastAsia="en-GB"/>
              </w:rPr>
              <w:tab/>
            </w:r>
            <w:r>
              <w:rPr>
                <w:rStyle w:val="IndexLink"/>
                <w:rFonts w:ascii="Arial" w:hAnsi="Arial" w:cs="Arial"/>
              </w:rPr>
              <w:t>Using NEWS2</w:t>
            </w:r>
            <w:r>
              <w:rPr>
                <w:webHidden/>
              </w:rPr>
              <w:fldChar w:fldCharType="begin"/>
            </w:r>
            <w:r>
              <w:rPr>
                <w:webHidden/>
              </w:rPr>
              <w:instrText>PAGEREF _Toc119930239 \h</w:instrText>
            </w:r>
            <w:r>
              <w:rPr>
                <w:webHidden/>
              </w:rPr>
            </w:r>
            <w:r>
              <w:rPr>
                <w:webHidden/>
              </w:rPr>
              <w:fldChar w:fldCharType="separate"/>
            </w:r>
            <w:r>
              <w:rPr>
                <w:rStyle w:val="IndexLink"/>
              </w:rPr>
              <w:tab/>
              <w:t>6</w:t>
            </w:r>
            <w:r>
              <w:rPr>
                <w:webHidden/>
              </w:rPr>
              <w:fldChar w:fldCharType="end"/>
            </w:r>
          </w:hyperlink>
        </w:p>
        <w:p w14:paraId="6DF059B6"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0">
            <w:r>
              <w:rPr>
                <w:rStyle w:val="IndexLink"/>
                <w:rFonts w:ascii="Arial" w:hAnsi="Arial" w:cs="Arial"/>
              </w:rPr>
              <w:t>2.6</w:t>
            </w:r>
            <w:r>
              <w:rPr>
                <w:rStyle w:val="IndexLink"/>
                <w:rFonts w:eastAsiaTheme="minorEastAsia" w:cstheme="minorBidi"/>
                <w:b w:val="0"/>
                <w:bCs w:val="0"/>
                <w:sz w:val="24"/>
                <w:szCs w:val="24"/>
                <w:lang w:eastAsia="en-GB"/>
              </w:rPr>
              <w:tab/>
            </w:r>
            <w:r>
              <w:rPr>
                <w:rStyle w:val="IndexLink"/>
                <w:rFonts w:ascii="Arial" w:hAnsi="Arial" w:cs="Arial"/>
              </w:rPr>
              <w:t>Non-clinical staff responsibilities</w:t>
            </w:r>
            <w:r>
              <w:rPr>
                <w:webHidden/>
              </w:rPr>
              <w:fldChar w:fldCharType="begin"/>
            </w:r>
            <w:r>
              <w:rPr>
                <w:webHidden/>
              </w:rPr>
              <w:instrText>PAGEREF _Toc119930240 \h</w:instrText>
            </w:r>
            <w:r>
              <w:rPr>
                <w:webHidden/>
              </w:rPr>
            </w:r>
            <w:r>
              <w:rPr>
                <w:webHidden/>
              </w:rPr>
              <w:fldChar w:fldCharType="separate"/>
            </w:r>
            <w:r>
              <w:rPr>
                <w:rStyle w:val="IndexLink"/>
              </w:rPr>
              <w:tab/>
              <w:t>6</w:t>
            </w:r>
            <w:r>
              <w:rPr>
                <w:webHidden/>
              </w:rPr>
              <w:fldChar w:fldCharType="end"/>
            </w:r>
          </w:hyperlink>
        </w:p>
        <w:p w14:paraId="38AE861E"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1">
            <w:r>
              <w:rPr>
                <w:rStyle w:val="IndexLink"/>
                <w:rFonts w:ascii="Arial" w:hAnsi="Arial" w:cs="Arial"/>
              </w:rPr>
              <w:t>2.7</w:t>
            </w:r>
            <w:r>
              <w:rPr>
                <w:rStyle w:val="IndexLink"/>
                <w:rFonts w:eastAsiaTheme="minorEastAsia" w:cstheme="minorBidi"/>
                <w:b w:val="0"/>
                <w:bCs w:val="0"/>
                <w:sz w:val="24"/>
                <w:szCs w:val="24"/>
                <w:lang w:eastAsia="en-GB"/>
              </w:rPr>
              <w:tab/>
            </w:r>
            <w:r>
              <w:rPr>
                <w:rStyle w:val="IndexLink"/>
                <w:rFonts w:ascii="Arial" w:hAnsi="Arial" w:cs="Arial"/>
              </w:rPr>
              <w:t>External emergencies</w:t>
            </w:r>
            <w:r>
              <w:rPr>
                <w:webHidden/>
              </w:rPr>
              <w:fldChar w:fldCharType="begin"/>
            </w:r>
            <w:r>
              <w:rPr>
                <w:webHidden/>
              </w:rPr>
              <w:instrText>PAGEREF _Toc119930241 \h</w:instrText>
            </w:r>
            <w:r>
              <w:rPr>
                <w:webHidden/>
              </w:rPr>
            </w:r>
            <w:r>
              <w:rPr>
                <w:webHidden/>
              </w:rPr>
              <w:fldChar w:fldCharType="separate"/>
            </w:r>
            <w:r>
              <w:rPr>
                <w:rStyle w:val="IndexLink"/>
              </w:rPr>
              <w:tab/>
              <w:t>7</w:t>
            </w:r>
            <w:r>
              <w:rPr>
                <w:webHidden/>
              </w:rPr>
              <w:fldChar w:fldCharType="end"/>
            </w:r>
          </w:hyperlink>
        </w:p>
        <w:p w14:paraId="1A5BEF10"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2">
            <w:r>
              <w:rPr>
                <w:rStyle w:val="IndexLink"/>
                <w:rFonts w:ascii="Arial" w:hAnsi="Arial" w:cs="Arial"/>
              </w:rPr>
              <w:t>2.8</w:t>
            </w:r>
            <w:r>
              <w:rPr>
                <w:rStyle w:val="IndexLink"/>
                <w:rFonts w:eastAsiaTheme="minorEastAsia" w:cstheme="minorBidi"/>
                <w:b w:val="0"/>
                <w:bCs w:val="0"/>
                <w:sz w:val="24"/>
                <w:szCs w:val="24"/>
                <w:lang w:eastAsia="en-GB"/>
              </w:rPr>
              <w:tab/>
            </w:r>
            <w:r>
              <w:rPr>
                <w:rStyle w:val="IndexLink"/>
                <w:rFonts w:ascii="Arial" w:hAnsi="Arial" w:cs="Arial"/>
              </w:rPr>
              <w:t>Conducting CPR during the COVID-19 pandemic</w:t>
            </w:r>
            <w:r>
              <w:rPr>
                <w:webHidden/>
              </w:rPr>
              <w:fldChar w:fldCharType="begin"/>
            </w:r>
            <w:r>
              <w:rPr>
                <w:webHidden/>
              </w:rPr>
              <w:instrText>PAGEREF _Toc119930242 \h</w:instrText>
            </w:r>
            <w:r>
              <w:rPr>
                <w:webHidden/>
              </w:rPr>
            </w:r>
            <w:r>
              <w:rPr>
                <w:webHidden/>
              </w:rPr>
              <w:fldChar w:fldCharType="separate"/>
            </w:r>
            <w:r>
              <w:rPr>
                <w:rStyle w:val="IndexLink"/>
              </w:rPr>
              <w:tab/>
              <w:t>7</w:t>
            </w:r>
            <w:r>
              <w:rPr>
                <w:webHidden/>
              </w:rPr>
              <w:fldChar w:fldCharType="end"/>
            </w:r>
          </w:hyperlink>
        </w:p>
        <w:p w14:paraId="53EEFB33"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3">
            <w:r>
              <w:rPr>
                <w:rStyle w:val="IndexLink"/>
                <w:rFonts w:ascii="Arial" w:hAnsi="Arial" w:cs="Arial"/>
              </w:rPr>
              <w:t>2.9</w:t>
            </w:r>
            <w:r>
              <w:rPr>
                <w:rStyle w:val="IndexLink"/>
                <w:rFonts w:eastAsiaTheme="minorEastAsia" w:cstheme="minorBidi"/>
                <w:b w:val="0"/>
                <w:bCs w:val="0"/>
                <w:sz w:val="24"/>
                <w:szCs w:val="24"/>
                <w:lang w:eastAsia="en-GB"/>
              </w:rPr>
              <w:tab/>
            </w:r>
            <w:r>
              <w:rPr>
                <w:rStyle w:val="IndexLink"/>
                <w:rFonts w:ascii="Arial" w:hAnsi="Arial" w:cs="Arial"/>
              </w:rPr>
              <w:t>DNACPR</w:t>
            </w:r>
            <w:r>
              <w:rPr>
                <w:webHidden/>
              </w:rPr>
              <w:fldChar w:fldCharType="begin"/>
            </w:r>
            <w:r>
              <w:rPr>
                <w:webHidden/>
              </w:rPr>
              <w:instrText>PAGEREF _Toc119930243 \h</w:instrText>
            </w:r>
            <w:r>
              <w:rPr>
                <w:webHidden/>
              </w:rPr>
            </w:r>
            <w:r>
              <w:rPr>
                <w:webHidden/>
              </w:rPr>
              <w:fldChar w:fldCharType="separate"/>
            </w:r>
            <w:r>
              <w:rPr>
                <w:rStyle w:val="IndexLink"/>
              </w:rPr>
              <w:tab/>
              <w:t>8</w:t>
            </w:r>
            <w:r>
              <w:rPr>
                <w:webHidden/>
              </w:rPr>
              <w:fldChar w:fldCharType="end"/>
            </w:r>
          </w:hyperlink>
        </w:p>
        <w:p w14:paraId="1227AAD2"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4">
            <w:r>
              <w:rPr>
                <w:rStyle w:val="IndexLink"/>
                <w:rFonts w:ascii="Arial" w:hAnsi="Arial" w:cs="Arial"/>
              </w:rPr>
              <w:t>2.10</w:t>
            </w:r>
            <w:r>
              <w:rPr>
                <w:rStyle w:val="IndexLink"/>
                <w:rFonts w:eastAsiaTheme="minorEastAsia" w:cstheme="minorBidi"/>
                <w:b w:val="0"/>
                <w:bCs w:val="0"/>
                <w:sz w:val="24"/>
                <w:szCs w:val="24"/>
                <w:lang w:eastAsia="en-GB"/>
              </w:rPr>
              <w:tab/>
            </w:r>
            <w:r>
              <w:rPr>
                <w:rStyle w:val="IndexLink"/>
                <w:rFonts w:ascii="Arial" w:hAnsi="Arial" w:cs="Arial"/>
              </w:rPr>
              <w:t>Treatment escalation plan</w:t>
            </w:r>
            <w:r>
              <w:rPr>
                <w:webHidden/>
              </w:rPr>
              <w:fldChar w:fldCharType="begin"/>
            </w:r>
            <w:r>
              <w:rPr>
                <w:webHidden/>
              </w:rPr>
              <w:instrText>PAGEREF _Toc119930244 \h</w:instrText>
            </w:r>
            <w:r>
              <w:rPr>
                <w:webHidden/>
              </w:rPr>
            </w:r>
            <w:r>
              <w:rPr>
                <w:webHidden/>
              </w:rPr>
              <w:fldChar w:fldCharType="separate"/>
            </w:r>
            <w:r>
              <w:rPr>
                <w:rStyle w:val="IndexLink"/>
              </w:rPr>
              <w:tab/>
              <w:t>8</w:t>
            </w:r>
            <w:r>
              <w:rPr>
                <w:webHidden/>
              </w:rPr>
              <w:fldChar w:fldCharType="end"/>
            </w:r>
          </w:hyperlink>
        </w:p>
        <w:p w14:paraId="16D10538"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5">
            <w:r>
              <w:rPr>
                <w:rStyle w:val="IndexLink"/>
                <w:rFonts w:ascii="Arial" w:hAnsi="Arial" w:cs="Arial"/>
              </w:rPr>
              <w:t>2.11</w:t>
            </w:r>
            <w:r>
              <w:rPr>
                <w:rStyle w:val="IndexLink"/>
                <w:rFonts w:eastAsiaTheme="minorEastAsia" w:cstheme="minorBidi"/>
                <w:b w:val="0"/>
                <w:bCs w:val="0"/>
                <w:sz w:val="24"/>
                <w:szCs w:val="24"/>
                <w:lang w:eastAsia="en-GB"/>
              </w:rPr>
              <w:tab/>
            </w:r>
            <w:r>
              <w:rPr>
                <w:rStyle w:val="IndexLink"/>
                <w:rFonts w:ascii="Arial" w:hAnsi="Arial" w:cs="Arial"/>
              </w:rPr>
              <w:t>ReSPECT</w:t>
            </w:r>
            <w:r>
              <w:rPr>
                <w:webHidden/>
              </w:rPr>
              <w:fldChar w:fldCharType="begin"/>
            </w:r>
            <w:r>
              <w:rPr>
                <w:webHidden/>
              </w:rPr>
              <w:instrText>PAGEREF _Toc119930245 \h</w:instrText>
            </w:r>
            <w:r>
              <w:rPr>
                <w:webHidden/>
              </w:rPr>
            </w:r>
            <w:r>
              <w:rPr>
                <w:webHidden/>
              </w:rPr>
              <w:fldChar w:fldCharType="separate"/>
            </w:r>
            <w:r>
              <w:rPr>
                <w:rStyle w:val="IndexLink"/>
              </w:rPr>
              <w:tab/>
              <w:t>9</w:t>
            </w:r>
            <w:r>
              <w:rPr>
                <w:webHidden/>
              </w:rPr>
              <w:fldChar w:fldCharType="end"/>
            </w:r>
          </w:hyperlink>
        </w:p>
        <w:p w14:paraId="6BC20165"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6">
            <w:r>
              <w:rPr>
                <w:rStyle w:val="IndexLink"/>
                <w:rFonts w:ascii="Arial" w:hAnsi="Arial" w:cs="Arial"/>
              </w:rPr>
              <w:t>2.12</w:t>
            </w:r>
            <w:r>
              <w:rPr>
                <w:rStyle w:val="IndexLink"/>
                <w:rFonts w:eastAsiaTheme="minorEastAsia" w:cstheme="minorBidi"/>
                <w:b w:val="0"/>
                <w:bCs w:val="0"/>
                <w:sz w:val="24"/>
                <w:szCs w:val="24"/>
                <w:lang w:eastAsia="en-GB"/>
              </w:rPr>
              <w:tab/>
            </w:r>
            <w:r>
              <w:rPr>
                <w:rStyle w:val="IndexLink"/>
                <w:rFonts w:ascii="Arial" w:hAnsi="Arial" w:cs="Arial"/>
              </w:rPr>
              <w:t>DNACPR during the COVID-19 pandemic</w:t>
            </w:r>
            <w:r>
              <w:rPr>
                <w:webHidden/>
              </w:rPr>
              <w:fldChar w:fldCharType="begin"/>
            </w:r>
            <w:r>
              <w:rPr>
                <w:webHidden/>
              </w:rPr>
              <w:instrText>PAGEREF _Toc119930246 \h</w:instrText>
            </w:r>
            <w:r>
              <w:rPr>
                <w:webHidden/>
              </w:rPr>
            </w:r>
            <w:r>
              <w:rPr>
                <w:webHidden/>
              </w:rPr>
              <w:fldChar w:fldCharType="separate"/>
            </w:r>
            <w:r>
              <w:rPr>
                <w:rStyle w:val="IndexLink"/>
              </w:rPr>
              <w:tab/>
              <w:t>9</w:t>
            </w:r>
            <w:r>
              <w:rPr>
                <w:webHidden/>
              </w:rPr>
              <w:fldChar w:fldCharType="end"/>
            </w:r>
          </w:hyperlink>
        </w:p>
        <w:p w14:paraId="0CBC678C" w14:textId="77777777" w:rsidR="00B52E44" w:rsidRDefault="00000000">
          <w:pPr>
            <w:pStyle w:val="TOC1"/>
            <w:rPr>
              <w:rFonts w:asciiTheme="minorHAnsi" w:eastAsiaTheme="minorEastAsia" w:hAnsiTheme="minorHAnsi" w:cstheme="minorBidi"/>
              <w:b w:val="0"/>
              <w:bCs w:val="0"/>
              <w:caps w:val="0"/>
              <w:lang w:eastAsia="en-GB"/>
            </w:rPr>
          </w:pPr>
          <w:hyperlink w:anchor="_Toc119930247">
            <w:r>
              <w:rPr>
                <w:rStyle w:val="IndexLink"/>
                <w:caps w:val="0"/>
              </w:rPr>
              <w:t>3</w:t>
            </w:r>
            <w:r>
              <w:rPr>
                <w:rStyle w:val="IndexLink"/>
                <w:rFonts w:asciiTheme="minorHAnsi" w:eastAsiaTheme="minorEastAsia" w:hAnsiTheme="minorHAnsi" w:cstheme="minorBidi"/>
                <w:b w:val="0"/>
                <w:bCs w:val="0"/>
                <w:caps w:val="0"/>
                <w:lang w:eastAsia="en-GB"/>
              </w:rPr>
              <w:tab/>
            </w:r>
            <w:r>
              <w:rPr>
                <w:webHidden/>
              </w:rPr>
              <w:fldChar w:fldCharType="begin"/>
            </w:r>
            <w:r>
              <w:rPr>
                <w:webHidden/>
              </w:rPr>
              <w:instrText>PAGEREF _Toc119930247 \h</w:instrText>
            </w:r>
            <w:r>
              <w:rPr>
                <w:webHidden/>
              </w:rPr>
            </w:r>
            <w:r>
              <w:rPr>
                <w:webHidden/>
              </w:rPr>
              <w:fldChar w:fldCharType="separate"/>
            </w:r>
            <w:r>
              <w:rPr>
                <w:rStyle w:val="IndexLink"/>
                <w:caps w:val="0"/>
              </w:rPr>
              <w:t>Emergency equipment</w:t>
            </w:r>
            <w:r>
              <w:rPr>
                <w:rStyle w:val="IndexLink"/>
                <w:caps w:val="0"/>
              </w:rPr>
              <w:tab/>
              <w:t>10</w:t>
            </w:r>
            <w:r>
              <w:rPr>
                <w:webHidden/>
              </w:rPr>
              <w:fldChar w:fldCharType="end"/>
            </w:r>
          </w:hyperlink>
        </w:p>
        <w:p w14:paraId="32DD100C"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8">
            <w:r>
              <w:rPr>
                <w:rStyle w:val="IndexLink"/>
                <w:rFonts w:ascii="Arial" w:hAnsi="Arial" w:cs="Arial"/>
              </w:rPr>
              <w:t>3.1</w:t>
            </w:r>
            <w:r>
              <w:rPr>
                <w:rStyle w:val="IndexLink"/>
                <w:rFonts w:eastAsiaTheme="minorEastAsia" w:cstheme="minorBidi"/>
                <w:b w:val="0"/>
                <w:bCs w:val="0"/>
                <w:sz w:val="24"/>
                <w:szCs w:val="24"/>
                <w:lang w:eastAsia="en-GB"/>
              </w:rPr>
              <w:tab/>
            </w:r>
            <w:r>
              <w:rPr>
                <w:rStyle w:val="IndexLink"/>
                <w:rFonts w:ascii="Arial" w:hAnsi="Arial" w:cs="Arial"/>
              </w:rPr>
              <w:t>General emergency equipment</w:t>
            </w:r>
            <w:r>
              <w:rPr>
                <w:webHidden/>
              </w:rPr>
              <w:fldChar w:fldCharType="begin"/>
            </w:r>
            <w:r>
              <w:rPr>
                <w:webHidden/>
              </w:rPr>
              <w:instrText>PAGEREF _Toc119930248 \h</w:instrText>
            </w:r>
            <w:r>
              <w:rPr>
                <w:webHidden/>
              </w:rPr>
            </w:r>
            <w:r>
              <w:rPr>
                <w:webHidden/>
              </w:rPr>
              <w:fldChar w:fldCharType="separate"/>
            </w:r>
            <w:r>
              <w:rPr>
                <w:rStyle w:val="IndexLink"/>
              </w:rPr>
              <w:tab/>
              <w:t>10</w:t>
            </w:r>
            <w:r>
              <w:rPr>
                <w:webHidden/>
              </w:rPr>
              <w:fldChar w:fldCharType="end"/>
            </w:r>
          </w:hyperlink>
        </w:p>
        <w:p w14:paraId="65BD59F3"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9">
            <w:r>
              <w:rPr>
                <w:rStyle w:val="IndexLink"/>
                <w:rFonts w:ascii="Arial" w:hAnsi="Arial" w:cs="Arial"/>
              </w:rPr>
              <w:t>3.2</w:t>
            </w:r>
            <w:r>
              <w:rPr>
                <w:rStyle w:val="IndexLink"/>
                <w:rFonts w:eastAsiaTheme="minorEastAsia" w:cstheme="minorBidi"/>
                <w:b w:val="0"/>
                <w:bCs w:val="0"/>
                <w:sz w:val="24"/>
                <w:szCs w:val="24"/>
                <w:lang w:eastAsia="en-GB"/>
              </w:rPr>
              <w:tab/>
            </w:r>
            <w:r>
              <w:rPr>
                <w:rStyle w:val="IndexLink"/>
                <w:rFonts w:ascii="Arial" w:hAnsi="Arial" w:cs="Arial"/>
              </w:rPr>
              <w:t>Oxygen</w:t>
            </w:r>
            <w:r>
              <w:rPr>
                <w:webHidden/>
              </w:rPr>
              <w:fldChar w:fldCharType="begin"/>
            </w:r>
            <w:r>
              <w:rPr>
                <w:webHidden/>
              </w:rPr>
              <w:instrText>PAGEREF _Toc119930249 \h</w:instrText>
            </w:r>
            <w:r>
              <w:rPr>
                <w:webHidden/>
              </w:rPr>
            </w:r>
            <w:r>
              <w:rPr>
                <w:webHidden/>
              </w:rPr>
              <w:fldChar w:fldCharType="separate"/>
            </w:r>
            <w:r>
              <w:rPr>
                <w:rStyle w:val="IndexLink"/>
              </w:rPr>
              <w:tab/>
              <w:t>11</w:t>
            </w:r>
            <w:r>
              <w:rPr>
                <w:webHidden/>
              </w:rPr>
              <w:fldChar w:fldCharType="end"/>
            </w:r>
          </w:hyperlink>
        </w:p>
        <w:p w14:paraId="2C30A4F5"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50">
            <w:r>
              <w:rPr>
                <w:rStyle w:val="IndexLink"/>
                <w:rFonts w:ascii="Arial" w:hAnsi="Arial" w:cs="Arial"/>
              </w:rPr>
              <w:t>3.3</w:t>
            </w:r>
            <w:r>
              <w:rPr>
                <w:rStyle w:val="IndexLink"/>
                <w:rFonts w:eastAsiaTheme="minorEastAsia" w:cstheme="minorBidi"/>
                <w:b w:val="0"/>
                <w:bCs w:val="0"/>
                <w:sz w:val="24"/>
                <w:szCs w:val="24"/>
                <w:lang w:eastAsia="en-GB"/>
              </w:rPr>
              <w:tab/>
            </w:r>
            <w:r>
              <w:rPr>
                <w:rStyle w:val="IndexLink"/>
                <w:rFonts w:ascii="Arial" w:hAnsi="Arial" w:cs="Arial"/>
              </w:rPr>
              <w:t>Defibrillators</w:t>
            </w:r>
            <w:r>
              <w:rPr>
                <w:webHidden/>
              </w:rPr>
              <w:fldChar w:fldCharType="begin"/>
            </w:r>
            <w:r>
              <w:rPr>
                <w:webHidden/>
              </w:rPr>
              <w:instrText>PAGEREF _Toc119930250 \h</w:instrText>
            </w:r>
            <w:r>
              <w:rPr>
                <w:webHidden/>
              </w:rPr>
            </w:r>
            <w:r>
              <w:rPr>
                <w:webHidden/>
              </w:rPr>
              <w:fldChar w:fldCharType="separate"/>
            </w:r>
            <w:r>
              <w:rPr>
                <w:rStyle w:val="IndexLink"/>
              </w:rPr>
              <w:tab/>
              <w:t>11</w:t>
            </w:r>
            <w:r>
              <w:rPr>
                <w:webHidden/>
              </w:rPr>
              <w:fldChar w:fldCharType="end"/>
            </w:r>
          </w:hyperlink>
        </w:p>
        <w:p w14:paraId="61351123"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51">
            <w:r>
              <w:rPr>
                <w:rStyle w:val="IndexLink"/>
                <w:rFonts w:ascii="Arial" w:hAnsi="Arial" w:cs="Arial"/>
              </w:rPr>
              <w:t>3.4</w:t>
            </w:r>
            <w:r>
              <w:rPr>
                <w:rStyle w:val="IndexLink"/>
                <w:rFonts w:eastAsiaTheme="minorEastAsia" w:cstheme="minorBidi"/>
                <w:b w:val="0"/>
                <w:bCs w:val="0"/>
                <w:sz w:val="24"/>
                <w:szCs w:val="24"/>
                <w:lang w:eastAsia="en-GB"/>
              </w:rPr>
              <w:tab/>
            </w:r>
            <w:r>
              <w:rPr>
                <w:rStyle w:val="IndexLink"/>
                <w:rFonts w:ascii="Arial" w:hAnsi="Arial" w:cs="Arial"/>
              </w:rPr>
              <w:t>Emergency drugs</w:t>
            </w:r>
            <w:r>
              <w:rPr>
                <w:webHidden/>
              </w:rPr>
              <w:fldChar w:fldCharType="begin"/>
            </w:r>
            <w:r>
              <w:rPr>
                <w:webHidden/>
              </w:rPr>
              <w:instrText>PAGEREF _Toc119930251 \h</w:instrText>
            </w:r>
            <w:r>
              <w:rPr>
                <w:webHidden/>
              </w:rPr>
            </w:r>
            <w:r>
              <w:rPr>
                <w:webHidden/>
              </w:rPr>
              <w:fldChar w:fldCharType="separate"/>
            </w:r>
            <w:r>
              <w:rPr>
                <w:rStyle w:val="IndexLink"/>
              </w:rPr>
              <w:tab/>
              <w:t>11</w:t>
            </w:r>
            <w:r>
              <w:rPr>
                <w:webHidden/>
              </w:rPr>
              <w:fldChar w:fldCharType="end"/>
            </w:r>
          </w:hyperlink>
        </w:p>
        <w:p w14:paraId="4BDF4627" w14:textId="77777777" w:rsidR="00B52E44" w:rsidRDefault="00000000">
          <w:pPr>
            <w:pStyle w:val="TOC1"/>
            <w:rPr>
              <w:rFonts w:asciiTheme="minorHAnsi" w:eastAsiaTheme="minorEastAsia" w:hAnsiTheme="minorHAnsi" w:cstheme="minorBidi"/>
              <w:b w:val="0"/>
              <w:bCs w:val="0"/>
              <w:caps w:val="0"/>
              <w:lang w:eastAsia="en-GB"/>
            </w:rPr>
          </w:pPr>
          <w:hyperlink w:anchor="_Toc119930252">
            <w:r>
              <w:rPr>
                <w:rStyle w:val="IndexLink"/>
                <w:caps w:val="0"/>
              </w:rPr>
              <w:t>4</w:t>
            </w:r>
            <w:r>
              <w:rPr>
                <w:rStyle w:val="IndexLink"/>
                <w:rFonts w:asciiTheme="minorHAnsi" w:eastAsiaTheme="minorEastAsia" w:hAnsiTheme="minorHAnsi" w:cstheme="minorBidi"/>
                <w:b w:val="0"/>
                <w:bCs w:val="0"/>
                <w:caps w:val="0"/>
                <w:lang w:eastAsia="en-GB"/>
              </w:rPr>
              <w:tab/>
            </w:r>
            <w:r>
              <w:rPr>
                <w:webHidden/>
              </w:rPr>
              <w:fldChar w:fldCharType="begin"/>
            </w:r>
            <w:r>
              <w:rPr>
                <w:webHidden/>
              </w:rPr>
              <w:instrText>PAGEREF _Toc119930252 \h</w:instrText>
            </w:r>
            <w:r>
              <w:rPr>
                <w:webHidden/>
              </w:rPr>
            </w:r>
            <w:r>
              <w:rPr>
                <w:webHidden/>
              </w:rPr>
              <w:fldChar w:fldCharType="separate"/>
            </w:r>
            <w:r>
              <w:rPr>
                <w:rStyle w:val="IndexLink"/>
                <w:caps w:val="0"/>
              </w:rPr>
              <w:t>Life support obligations and FAQs</w:t>
            </w:r>
            <w:r>
              <w:rPr>
                <w:rStyle w:val="IndexLink"/>
                <w:caps w:val="0"/>
              </w:rPr>
              <w:tab/>
              <w:t>13</w:t>
            </w:r>
            <w:r>
              <w:rPr>
                <w:webHidden/>
              </w:rPr>
              <w:fldChar w:fldCharType="end"/>
            </w:r>
          </w:hyperlink>
        </w:p>
        <w:p w14:paraId="4F932939" w14:textId="77777777" w:rsidR="00B52E44" w:rsidRDefault="00000000">
          <w:pPr>
            <w:pStyle w:val="TOC1"/>
            <w:rPr>
              <w:rFonts w:asciiTheme="minorHAnsi" w:eastAsiaTheme="minorEastAsia" w:hAnsiTheme="minorHAnsi" w:cstheme="minorBidi"/>
              <w:b w:val="0"/>
              <w:bCs w:val="0"/>
              <w:caps w:val="0"/>
              <w:lang w:eastAsia="en-GB"/>
            </w:rPr>
          </w:pPr>
          <w:hyperlink w:anchor="_Toc119930253">
            <w:r>
              <w:rPr>
                <w:rStyle w:val="IndexLink"/>
                <w:caps w:val="0"/>
              </w:rPr>
              <w:t>5</w:t>
            </w:r>
            <w:r>
              <w:rPr>
                <w:rStyle w:val="IndexLink"/>
                <w:rFonts w:asciiTheme="minorHAnsi" w:eastAsiaTheme="minorEastAsia" w:hAnsiTheme="minorHAnsi" w:cstheme="minorBidi"/>
                <w:b w:val="0"/>
                <w:bCs w:val="0"/>
                <w:caps w:val="0"/>
                <w:lang w:eastAsia="en-GB"/>
              </w:rPr>
              <w:tab/>
            </w:r>
            <w:r>
              <w:rPr>
                <w:webHidden/>
              </w:rPr>
              <w:fldChar w:fldCharType="begin"/>
            </w:r>
            <w:r>
              <w:rPr>
                <w:webHidden/>
              </w:rPr>
              <w:instrText>PAGEREF _Toc119930253 \h</w:instrText>
            </w:r>
            <w:r>
              <w:rPr>
                <w:webHidden/>
              </w:rPr>
            </w:r>
            <w:r>
              <w:rPr>
                <w:webHidden/>
              </w:rPr>
              <w:fldChar w:fldCharType="separate"/>
            </w:r>
            <w:r>
              <w:rPr>
                <w:rStyle w:val="IndexLink"/>
                <w:caps w:val="0"/>
              </w:rPr>
              <w:t>Management of specific medical emergencies</w:t>
            </w:r>
            <w:r>
              <w:rPr>
                <w:rStyle w:val="IndexLink"/>
                <w:caps w:val="0"/>
              </w:rPr>
              <w:tab/>
              <w:t>14</w:t>
            </w:r>
            <w:r>
              <w:rPr>
                <w:webHidden/>
              </w:rPr>
              <w:fldChar w:fldCharType="end"/>
            </w:r>
          </w:hyperlink>
        </w:p>
        <w:p w14:paraId="5BA14E7D" w14:textId="77777777" w:rsidR="00B52E44" w:rsidRDefault="00000000">
          <w:pPr>
            <w:pStyle w:val="TOC1"/>
            <w:rPr>
              <w:rFonts w:asciiTheme="minorHAnsi" w:eastAsiaTheme="minorEastAsia" w:hAnsiTheme="minorHAnsi" w:cstheme="minorBidi"/>
              <w:b w:val="0"/>
              <w:bCs w:val="0"/>
              <w:caps w:val="0"/>
              <w:lang w:eastAsia="en-GB"/>
            </w:rPr>
          </w:pPr>
          <w:hyperlink w:anchor="_Toc119930254">
            <w:r>
              <w:rPr>
                <w:rStyle w:val="IndexLink"/>
                <w:caps w:val="0"/>
              </w:rPr>
              <w:t>6</w:t>
            </w:r>
            <w:r>
              <w:rPr>
                <w:rStyle w:val="IndexLink"/>
                <w:rFonts w:asciiTheme="minorHAnsi" w:eastAsiaTheme="minorEastAsia" w:hAnsiTheme="minorHAnsi" w:cstheme="minorBidi"/>
                <w:b w:val="0"/>
                <w:bCs w:val="0"/>
                <w:caps w:val="0"/>
                <w:lang w:eastAsia="en-GB"/>
              </w:rPr>
              <w:tab/>
            </w:r>
            <w:r>
              <w:rPr>
                <w:webHidden/>
              </w:rPr>
              <w:fldChar w:fldCharType="begin"/>
            </w:r>
            <w:r>
              <w:rPr>
                <w:webHidden/>
              </w:rPr>
              <w:instrText>PAGEREF _Toc119930254 \h</w:instrText>
            </w:r>
            <w:r>
              <w:rPr>
                <w:webHidden/>
              </w:rPr>
            </w:r>
            <w:r>
              <w:rPr>
                <w:webHidden/>
              </w:rPr>
              <w:fldChar w:fldCharType="separate"/>
            </w:r>
            <w:r>
              <w:rPr>
                <w:rStyle w:val="IndexLink"/>
                <w:caps w:val="0"/>
              </w:rPr>
              <w:t>Further reading</w:t>
            </w:r>
            <w:r>
              <w:rPr>
                <w:rStyle w:val="IndexLink"/>
                <w:caps w:val="0"/>
              </w:rPr>
              <w:tab/>
              <w:t>14</w:t>
            </w:r>
            <w:r>
              <w:rPr>
                <w:webHidden/>
              </w:rPr>
              <w:fldChar w:fldCharType="end"/>
            </w:r>
          </w:hyperlink>
        </w:p>
        <w:p w14:paraId="564D08FF" w14:textId="77777777" w:rsidR="00B52E44" w:rsidRDefault="00000000">
          <w:pPr>
            <w:pStyle w:val="TOC1"/>
            <w:rPr>
              <w:rFonts w:asciiTheme="minorHAnsi" w:eastAsiaTheme="minorEastAsia" w:hAnsiTheme="minorHAnsi" w:cstheme="minorBidi"/>
              <w:b w:val="0"/>
              <w:bCs w:val="0"/>
              <w:caps w:val="0"/>
              <w:lang w:eastAsia="en-GB"/>
            </w:rPr>
          </w:pPr>
          <w:hyperlink w:anchor="_Toc119930255">
            <w:r>
              <w:rPr>
                <w:rStyle w:val="IndexLink"/>
                <w:caps w:val="0"/>
              </w:rPr>
              <w:t>7</w:t>
            </w:r>
            <w:r>
              <w:rPr>
                <w:rStyle w:val="IndexLink"/>
                <w:rFonts w:asciiTheme="minorHAnsi" w:eastAsiaTheme="minorEastAsia" w:hAnsiTheme="minorHAnsi" w:cstheme="minorBidi"/>
                <w:b w:val="0"/>
                <w:bCs w:val="0"/>
                <w:caps w:val="0"/>
                <w:lang w:eastAsia="en-GB"/>
              </w:rPr>
              <w:tab/>
            </w:r>
            <w:r>
              <w:rPr>
                <w:webHidden/>
              </w:rPr>
              <w:fldChar w:fldCharType="begin"/>
            </w:r>
            <w:r>
              <w:rPr>
                <w:webHidden/>
              </w:rPr>
              <w:instrText>PAGEREF _Toc119930255 \h</w:instrText>
            </w:r>
            <w:r>
              <w:rPr>
                <w:webHidden/>
              </w:rPr>
            </w:r>
            <w:r>
              <w:rPr>
                <w:webHidden/>
              </w:rPr>
              <w:fldChar w:fldCharType="separate"/>
            </w:r>
            <w:r>
              <w:rPr>
                <w:rStyle w:val="IndexLink"/>
                <w:caps w:val="0"/>
              </w:rPr>
              <w:t>Summary</w:t>
            </w:r>
            <w:r>
              <w:rPr>
                <w:rStyle w:val="IndexLink"/>
                <w:caps w:val="0"/>
              </w:rPr>
              <w:tab/>
              <w:t>14</w:t>
            </w:r>
            <w:r>
              <w:rPr>
                <w:webHidden/>
              </w:rPr>
              <w:fldChar w:fldCharType="end"/>
            </w:r>
          </w:hyperlink>
        </w:p>
        <w:p w14:paraId="645EF494" w14:textId="77777777" w:rsidR="00B52E44" w:rsidRDefault="00000000">
          <w:pPr>
            <w:pStyle w:val="TOC1"/>
            <w:rPr>
              <w:rFonts w:asciiTheme="minorHAnsi" w:eastAsiaTheme="minorEastAsia" w:hAnsiTheme="minorHAnsi" w:cstheme="minorBidi"/>
              <w:b w:val="0"/>
              <w:bCs w:val="0"/>
              <w:caps w:val="0"/>
              <w:lang w:eastAsia="en-GB"/>
            </w:rPr>
          </w:pPr>
          <w:hyperlink w:anchor="_Toc119930256">
            <w:r>
              <w:rPr>
                <w:webHidden/>
              </w:rPr>
              <w:fldChar w:fldCharType="begin"/>
            </w:r>
            <w:r>
              <w:rPr>
                <w:webHidden/>
              </w:rPr>
              <w:instrText>PAGEREF _Toc119930256 \h</w:instrText>
            </w:r>
            <w:r>
              <w:rPr>
                <w:webHidden/>
              </w:rPr>
            </w:r>
            <w:r>
              <w:rPr>
                <w:webHidden/>
              </w:rPr>
              <w:fldChar w:fldCharType="separate"/>
            </w:r>
            <w:r>
              <w:rPr>
                <w:rStyle w:val="IndexLink"/>
                <w:caps w:val="0"/>
              </w:rPr>
              <w:t>Annex A – Emergency equipment checklist</w:t>
            </w:r>
            <w:r>
              <w:rPr>
                <w:rStyle w:val="IndexLink"/>
                <w:caps w:val="0"/>
              </w:rPr>
              <w:tab/>
              <w:t>15</w:t>
            </w:r>
            <w:r>
              <w:rPr>
                <w:webHidden/>
              </w:rPr>
              <w:fldChar w:fldCharType="end"/>
            </w:r>
          </w:hyperlink>
        </w:p>
        <w:p w14:paraId="29D9B8B8" w14:textId="77777777" w:rsidR="00B52E44" w:rsidRDefault="00000000">
          <w:pPr>
            <w:pStyle w:val="TOC1"/>
            <w:rPr>
              <w:caps w:val="0"/>
            </w:rPr>
          </w:pPr>
          <w:r>
            <w:fldChar w:fldCharType="end"/>
          </w:r>
        </w:p>
      </w:sdtContent>
    </w:sdt>
    <w:p w14:paraId="2090345A" w14:textId="77777777" w:rsidR="00B52E44" w:rsidRDefault="00B52E44">
      <w:pPr>
        <w:pStyle w:val="TOC1"/>
      </w:pPr>
    </w:p>
    <w:p w14:paraId="57351B70" w14:textId="77777777" w:rsidR="00B52E44" w:rsidRDefault="00B52E44"/>
    <w:p w14:paraId="2B6A811D" w14:textId="77777777" w:rsidR="00B52E44" w:rsidRDefault="00B52E44"/>
    <w:p w14:paraId="2FE7FED1" w14:textId="77777777" w:rsidR="00B52E44" w:rsidRDefault="00B52E44"/>
    <w:p w14:paraId="72276420" w14:textId="77777777" w:rsidR="00B52E44" w:rsidRDefault="00B52E44"/>
    <w:p w14:paraId="6C391569" w14:textId="77777777" w:rsidR="00B52E44" w:rsidRDefault="00B52E44"/>
    <w:p w14:paraId="64F74BA9" w14:textId="77777777" w:rsidR="00B52E44" w:rsidRDefault="00B52E44"/>
    <w:p w14:paraId="7E1E8F99" w14:textId="77777777" w:rsidR="00B52E44" w:rsidRDefault="00B52E44"/>
    <w:p w14:paraId="7577CE6D" w14:textId="77777777" w:rsidR="00B52E44" w:rsidRDefault="00B52E44"/>
    <w:p w14:paraId="10371088" w14:textId="77777777" w:rsidR="00B52E44" w:rsidRDefault="00B52E44"/>
    <w:p w14:paraId="2B81D84C" w14:textId="77777777" w:rsidR="00B52E44" w:rsidRDefault="00B52E44"/>
    <w:p w14:paraId="2F539980" w14:textId="77777777" w:rsidR="00B52E44" w:rsidRDefault="00B52E44"/>
    <w:p w14:paraId="35349EB0" w14:textId="77777777" w:rsidR="00B52E44" w:rsidRDefault="00B52E44"/>
    <w:p w14:paraId="3EB8A1F3" w14:textId="77777777" w:rsidR="00B52E44" w:rsidRDefault="00B52E44"/>
    <w:p w14:paraId="4C29C337" w14:textId="77777777" w:rsidR="00B52E44" w:rsidRDefault="00B52E44"/>
    <w:p w14:paraId="7932E9F2" w14:textId="77777777" w:rsidR="00B52E44" w:rsidRDefault="00B52E44"/>
    <w:p w14:paraId="3145E85E" w14:textId="77777777" w:rsidR="00B52E44" w:rsidRDefault="00B52E44"/>
    <w:p w14:paraId="61F036F0" w14:textId="77777777" w:rsidR="00B52E44" w:rsidRDefault="00B52E44"/>
    <w:p w14:paraId="57787864" w14:textId="77777777" w:rsidR="00B52E44" w:rsidRDefault="00B52E44"/>
    <w:p w14:paraId="43AF810D" w14:textId="77777777" w:rsidR="00B52E44" w:rsidRDefault="00B52E44"/>
    <w:p w14:paraId="3EF698B4" w14:textId="77777777" w:rsidR="00B52E44" w:rsidRDefault="00B52E44"/>
    <w:p w14:paraId="154D0816" w14:textId="77777777" w:rsidR="00B52E44" w:rsidRDefault="00B52E44"/>
    <w:p w14:paraId="473BED89" w14:textId="77777777" w:rsidR="00B52E44" w:rsidRDefault="00B52E44"/>
    <w:p w14:paraId="61148DCA" w14:textId="77777777" w:rsidR="00B52E44" w:rsidRDefault="00B52E44"/>
    <w:p w14:paraId="6C90633C" w14:textId="77777777" w:rsidR="00B52E44" w:rsidRDefault="00B52E44"/>
    <w:p w14:paraId="7A3BE15D" w14:textId="77777777" w:rsidR="00B52E44" w:rsidRDefault="00B52E44"/>
    <w:p w14:paraId="6641B4A1" w14:textId="77777777" w:rsidR="00B52E44" w:rsidRDefault="00B52E44"/>
    <w:p w14:paraId="01BB6A78" w14:textId="77777777" w:rsidR="00B52E44" w:rsidRDefault="00B52E44"/>
    <w:p w14:paraId="0DF0393D" w14:textId="77777777" w:rsidR="00B52E44" w:rsidRDefault="00B52E44"/>
    <w:p w14:paraId="53D0A31E" w14:textId="77777777" w:rsidR="00B52E44" w:rsidRDefault="00B52E44"/>
    <w:p w14:paraId="060E8B19" w14:textId="77777777" w:rsidR="00B52E44" w:rsidRDefault="00B52E44"/>
    <w:p w14:paraId="76FADF59" w14:textId="77777777" w:rsidR="00B52E44" w:rsidRDefault="00B52E44"/>
    <w:p w14:paraId="11574C0D" w14:textId="77777777" w:rsidR="00B52E44" w:rsidRDefault="00B52E44"/>
    <w:p w14:paraId="5D0D45CB" w14:textId="77777777" w:rsidR="00B52E44" w:rsidRDefault="00B52E44">
      <w:pPr>
        <w:pStyle w:val="TOC1"/>
      </w:pPr>
    </w:p>
    <w:p w14:paraId="613B69FD" w14:textId="77777777" w:rsidR="00B52E44" w:rsidRDefault="00B52E44"/>
    <w:p w14:paraId="3F5E08AB" w14:textId="77777777" w:rsidR="00B52E44" w:rsidRDefault="00000000">
      <w:pPr>
        <w:pStyle w:val="Heading1"/>
        <w:keepLines/>
        <w:pBdr>
          <w:bottom w:val="single" w:sz="4" w:space="1" w:color="595959"/>
        </w:pBdr>
        <w:spacing w:before="360" w:after="160" w:line="259" w:lineRule="auto"/>
        <w:rPr>
          <w:sz w:val="28"/>
          <w:szCs w:val="28"/>
        </w:rPr>
      </w:pPr>
      <w:bookmarkStart w:id="0" w:name="_Toc119930231"/>
      <w:r>
        <w:rPr>
          <w:sz w:val="28"/>
          <w:szCs w:val="28"/>
        </w:rPr>
        <w:t>Introduction</w:t>
      </w:r>
      <w:bookmarkEnd w:id="0"/>
    </w:p>
    <w:p w14:paraId="157F6855" w14:textId="77777777" w:rsidR="00B52E44" w:rsidRDefault="00000000">
      <w:pPr>
        <w:pStyle w:val="Heading2"/>
        <w:rPr>
          <w:rFonts w:ascii="Arial" w:hAnsi="Arial" w:cs="Arial"/>
          <w:smallCaps w:val="0"/>
          <w:sz w:val="24"/>
          <w:szCs w:val="24"/>
          <w:lang w:val="en-GB"/>
        </w:rPr>
      </w:pPr>
      <w:bookmarkStart w:id="1" w:name="_Toc119930232"/>
      <w:bookmarkStart w:id="2" w:name="_Toc495852825"/>
      <w:r>
        <w:rPr>
          <w:rFonts w:ascii="Arial" w:hAnsi="Arial" w:cs="Arial"/>
          <w:smallCaps w:val="0"/>
          <w:sz w:val="24"/>
          <w:szCs w:val="24"/>
          <w:lang w:val="en-GB"/>
        </w:rPr>
        <w:t>Guidance statement</w:t>
      </w:r>
      <w:bookmarkEnd w:id="1"/>
      <w:bookmarkEnd w:id="2"/>
    </w:p>
    <w:p w14:paraId="53D2410C" w14:textId="77777777" w:rsidR="00B52E44" w:rsidRDefault="00B52E44"/>
    <w:p w14:paraId="44163DBB" w14:textId="02758DAD" w:rsidR="00B52E44" w:rsidRDefault="00000000">
      <w:r>
        <w:rPr>
          <w:rFonts w:ascii="Arial" w:hAnsi="Arial" w:cs="Arial"/>
        </w:rPr>
        <w:t xml:space="preserve">Patients may present with a medical emergency at any time. GPs, nurses, allied health professionals and non-clinical staff at </w:t>
      </w:r>
      <w:bookmarkStart w:id="3" w:name="_Hlk136600945"/>
      <w:r w:rsidR="00542C91">
        <w:rPr>
          <w:rFonts w:ascii="Arial" w:hAnsi="Arial" w:cs="Arial"/>
        </w:rPr>
        <w:t>Sheerwater Health Centre</w:t>
      </w:r>
      <w:r>
        <w:rPr>
          <w:rFonts w:ascii="Arial" w:hAnsi="Arial" w:cs="Arial"/>
        </w:rPr>
        <w:t xml:space="preserve"> </w:t>
      </w:r>
      <w:bookmarkEnd w:id="3"/>
      <w:r>
        <w:rPr>
          <w:rFonts w:ascii="Arial" w:hAnsi="Arial" w:cs="Arial"/>
        </w:rPr>
        <w:t>may be faced with the challenge of dealing with, and appropriately managing, a medical emergency. It is therefore imperative that the organisation is prepared for such occurrences.</w:t>
      </w:r>
    </w:p>
    <w:p w14:paraId="244AF6A4" w14:textId="77777777" w:rsidR="00B52E44" w:rsidRDefault="00B52E44">
      <w:pPr>
        <w:rPr>
          <w:rFonts w:ascii="Arial" w:hAnsi="Arial" w:cs="Arial"/>
        </w:rPr>
      </w:pPr>
    </w:p>
    <w:p w14:paraId="6AE4C4E5" w14:textId="77777777" w:rsidR="00B52E44" w:rsidRDefault="00000000">
      <w:pPr>
        <w:rPr>
          <w:rFonts w:ascii="Arial" w:hAnsi="Arial" w:cs="Arial"/>
        </w:rPr>
      </w:pPr>
      <w:r>
        <w:rPr>
          <w:rFonts w:ascii="Arial" w:hAnsi="Arial" w:cs="Arial"/>
        </w:rPr>
        <w:t xml:space="preserve">This guidance provides referenced guidance on the management of medical emergencies and should be read in conjunction with the following GP </w:t>
      </w:r>
      <w:proofErr w:type="spellStart"/>
      <w:r>
        <w:rPr>
          <w:rFonts w:ascii="Arial" w:hAnsi="Arial" w:cs="Arial"/>
        </w:rPr>
        <w:t>Mythbusters</w:t>
      </w:r>
      <w:proofErr w:type="spellEnd"/>
      <w:r>
        <w:rPr>
          <w:rFonts w:ascii="Arial" w:hAnsi="Arial" w:cs="Arial"/>
        </w:rPr>
        <w:t>:</w:t>
      </w:r>
    </w:p>
    <w:p w14:paraId="656284CB" w14:textId="77777777" w:rsidR="00B52E44" w:rsidRDefault="00B52E44">
      <w:pPr>
        <w:rPr>
          <w:rFonts w:ascii="Arial" w:hAnsi="Arial" w:cs="Arial"/>
        </w:rPr>
      </w:pPr>
    </w:p>
    <w:p w14:paraId="0F8D467A" w14:textId="77777777" w:rsidR="00B52E44" w:rsidRDefault="00000000">
      <w:pPr>
        <w:pStyle w:val="ListParagraph"/>
        <w:numPr>
          <w:ilvl w:val="0"/>
          <w:numId w:val="12"/>
        </w:numPr>
      </w:pPr>
      <w:hyperlink r:id="rId7">
        <w:r>
          <w:rPr>
            <w:rStyle w:val="Hyperlink"/>
            <w:rFonts w:ascii="Arial" w:hAnsi="Arial" w:cs="Arial"/>
          </w:rPr>
          <w:t xml:space="preserve">GP </w:t>
        </w:r>
        <w:proofErr w:type="spellStart"/>
        <w:r>
          <w:rPr>
            <w:rStyle w:val="Hyperlink"/>
            <w:rFonts w:ascii="Arial" w:hAnsi="Arial" w:cs="Arial"/>
          </w:rPr>
          <w:t>Mythbuster</w:t>
        </w:r>
        <w:proofErr w:type="spellEnd"/>
        <w:r>
          <w:rPr>
            <w:rStyle w:val="Hyperlink"/>
            <w:rFonts w:ascii="Arial" w:hAnsi="Arial" w:cs="Arial"/>
          </w:rPr>
          <w:t xml:space="preserve"> 1: Resuscitation in GP surgeries</w:t>
        </w:r>
      </w:hyperlink>
    </w:p>
    <w:p w14:paraId="39D56AEC" w14:textId="77777777" w:rsidR="00B52E44" w:rsidRDefault="00B52E44">
      <w:pPr>
        <w:pStyle w:val="ListParagraph"/>
        <w:rPr>
          <w:rStyle w:val="Hyperlink"/>
          <w:rFonts w:ascii="Arial" w:hAnsi="Arial" w:cs="Arial"/>
        </w:rPr>
      </w:pPr>
    </w:p>
    <w:p w14:paraId="4B73A6D7" w14:textId="77777777" w:rsidR="00B52E44" w:rsidRDefault="00000000">
      <w:pPr>
        <w:ind w:left="720"/>
        <w:rPr>
          <w:rFonts w:ascii="Arial" w:hAnsi="Arial" w:cs="Arial"/>
        </w:rPr>
      </w:pPr>
      <w:r>
        <w:rPr>
          <w:rFonts w:ascii="Arial" w:hAnsi="Arial" w:cs="Arial"/>
        </w:rPr>
        <w:t xml:space="preserve">The Care Quality Commission (CQC) decrees that all GP practices must be equipped to deal with a medical emergency. This includes resuscitation. Due to the ongoing risk of COVID-19 transmission, the guidance issued by the </w:t>
      </w:r>
      <w:r>
        <w:rPr>
          <w:rFonts w:ascii="Arial" w:hAnsi="Arial" w:cs="Arial"/>
        </w:rPr>
        <w:lastRenderedPageBreak/>
        <w:t xml:space="preserve">Resuscitation Council UK (RCUK) must be factored in when responding to any medical emergency. </w:t>
      </w:r>
    </w:p>
    <w:p w14:paraId="2ED46E68" w14:textId="77777777" w:rsidR="00B52E44" w:rsidRDefault="00B52E44">
      <w:pPr>
        <w:pStyle w:val="ListParagraph"/>
        <w:rPr>
          <w:rFonts w:ascii="Arial" w:hAnsi="Arial" w:cs="Arial"/>
        </w:rPr>
      </w:pPr>
    </w:p>
    <w:p w14:paraId="269C5FA1" w14:textId="77777777" w:rsidR="00B52E44" w:rsidRDefault="00000000">
      <w:pPr>
        <w:pStyle w:val="ListParagraph"/>
        <w:numPr>
          <w:ilvl w:val="0"/>
          <w:numId w:val="12"/>
        </w:numPr>
      </w:pPr>
      <w:hyperlink r:id="rId8">
        <w:r>
          <w:rPr>
            <w:rStyle w:val="Hyperlink"/>
            <w:rFonts w:ascii="Arial" w:hAnsi="Arial" w:cs="Arial"/>
          </w:rPr>
          <w:t xml:space="preserve">GP </w:t>
        </w:r>
        <w:proofErr w:type="spellStart"/>
        <w:r>
          <w:rPr>
            <w:rStyle w:val="Hyperlink"/>
            <w:rFonts w:ascii="Arial" w:hAnsi="Arial" w:cs="Arial"/>
          </w:rPr>
          <w:t>Mythbuster</w:t>
        </w:r>
        <w:proofErr w:type="spellEnd"/>
        <w:r>
          <w:rPr>
            <w:rStyle w:val="Hyperlink"/>
            <w:rFonts w:ascii="Arial" w:hAnsi="Arial" w:cs="Arial"/>
          </w:rPr>
          <w:t xml:space="preserve"> 9: Emergency medicines for GP practices</w:t>
        </w:r>
      </w:hyperlink>
    </w:p>
    <w:p w14:paraId="580D60C7" w14:textId="77777777" w:rsidR="00B52E44" w:rsidRDefault="00B52E44">
      <w:pPr>
        <w:rPr>
          <w:rFonts w:ascii="Arial" w:hAnsi="Arial" w:cs="Arial"/>
        </w:rPr>
      </w:pPr>
    </w:p>
    <w:p w14:paraId="1446A277" w14:textId="77777777" w:rsidR="00B52E44" w:rsidRDefault="00000000">
      <w:pPr>
        <w:ind w:left="576"/>
      </w:pPr>
      <w:r>
        <w:rPr>
          <w:rFonts w:ascii="Arial" w:hAnsi="Arial" w:cs="Arial"/>
        </w:rPr>
        <w:t>The CQC states that GPs and HCPs need the knowledge, skills and equipment for managing the medical emergencies that they are likely to face.</w:t>
      </w:r>
    </w:p>
    <w:p w14:paraId="74D35F7B" w14:textId="77777777" w:rsidR="00B52E44" w:rsidRDefault="00B52E44"/>
    <w:p w14:paraId="6C02F0FC" w14:textId="77777777" w:rsidR="00B52E44" w:rsidRDefault="00000000">
      <w:pPr>
        <w:rPr>
          <w:rFonts w:ascii="Arial" w:hAnsi="Arial" w:cs="Arial"/>
        </w:rPr>
      </w:pPr>
      <w:r>
        <w:rPr>
          <w:rFonts w:ascii="Arial" w:hAnsi="Arial" w:cs="Arial"/>
        </w:rPr>
        <w:t xml:space="preserve">It is the responsibility of all staff to ensure that they recognise, respond to and take the necessary actions when dealing with any medical emergency. The management team will assume responsibility for ensuring that all staff have undertaken the necessary training and would be able to respond to a medical emergency within the organisation.  </w:t>
      </w:r>
    </w:p>
    <w:p w14:paraId="47E3E4C3" w14:textId="77777777" w:rsidR="00B52E44" w:rsidRDefault="00B52E44">
      <w:pPr>
        <w:rPr>
          <w:rFonts w:ascii="Arial" w:hAnsi="Arial" w:cs="Arial"/>
        </w:rPr>
      </w:pPr>
    </w:p>
    <w:p w14:paraId="0CCBF85E" w14:textId="77777777" w:rsidR="00B52E44" w:rsidRDefault="00000000">
      <w:hyperlink r:id="rId9">
        <w:r>
          <w:rPr>
            <w:rStyle w:val="Hyperlink"/>
            <w:rFonts w:ascii="Arial" w:hAnsi="Arial" w:cs="Arial"/>
          </w:rPr>
          <w:t>Resuscitation Council UK</w:t>
        </w:r>
      </w:hyperlink>
      <w:r>
        <w:rPr>
          <w:rFonts w:ascii="Arial" w:hAnsi="Arial" w:cs="Arial"/>
        </w:rPr>
        <w:t>, or RCUK, develops guidelines that inﬂuence emergency care policy. It provides education, training and research to support the skills needed to save a life. RCUK updates its guidelines every five years, with the last update being in 2021.</w:t>
      </w:r>
    </w:p>
    <w:p w14:paraId="0803D45E" w14:textId="77777777" w:rsidR="00B52E44" w:rsidRDefault="00B52E44">
      <w:pPr>
        <w:rPr>
          <w:rFonts w:ascii="Arial" w:hAnsi="Arial" w:cs="Arial"/>
        </w:rPr>
      </w:pPr>
    </w:p>
    <w:p w14:paraId="15F6BFB1" w14:textId="77777777" w:rsidR="00B52E44" w:rsidRDefault="00000000">
      <w:r>
        <w:rPr>
          <w:rFonts w:ascii="Arial" w:hAnsi="Arial" w:cs="Arial"/>
        </w:rPr>
        <w:t xml:space="preserve">At this organisation, staff are aware of the updated </w:t>
      </w:r>
      <w:hyperlink r:id="rId10">
        <w:r>
          <w:rPr>
            <w:rStyle w:val="Hyperlink"/>
            <w:rFonts w:ascii="Arial" w:hAnsi="Arial" w:cs="Arial"/>
          </w:rPr>
          <w:t>RCUK COVID-19 guidance</w:t>
        </w:r>
      </w:hyperlink>
      <w:r>
        <w:rPr>
          <w:rFonts w:ascii="Arial" w:hAnsi="Arial" w:cs="Arial"/>
        </w:rPr>
        <w:t xml:space="preserve"> dated 10 Aug 2022.</w:t>
      </w:r>
    </w:p>
    <w:p w14:paraId="36249CDA" w14:textId="77777777" w:rsidR="00B52E44" w:rsidRDefault="00B52E44">
      <w:pPr>
        <w:shd w:val="clear" w:color="auto" w:fill="FFFFFF"/>
        <w:rPr>
          <w:rFonts w:ascii="Arial" w:hAnsi="Arial" w:cs="Arial"/>
        </w:rPr>
      </w:pPr>
    </w:p>
    <w:p w14:paraId="3A4D3588" w14:textId="77777777" w:rsidR="00B52E44" w:rsidRDefault="00B52E44">
      <w:pPr>
        <w:shd w:val="clear" w:color="auto" w:fill="FFFFFF"/>
        <w:rPr>
          <w:rFonts w:ascii="Arial" w:hAnsi="Arial" w:cs="Arial"/>
        </w:rPr>
      </w:pPr>
    </w:p>
    <w:p w14:paraId="3F0B8024" w14:textId="77777777" w:rsidR="00B52E44" w:rsidRDefault="00000000">
      <w:pPr>
        <w:shd w:val="clear" w:color="auto" w:fill="FFFFFF"/>
        <w:rPr>
          <w:rStyle w:val="Hyperlink"/>
          <w:rFonts w:ascii="Arial" w:hAnsi="Arial" w:cs="Arial"/>
        </w:rPr>
      </w:pPr>
      <w:r>
        <w:rPr>
          <w:rFonts w:ascii="Arial" w:hAnsi="Arial" w:cs="Arial"/>
        </w:rPr>
        <w:t xml:space="preserve">For support completing a risk assessment, refer to both the </w:t>
      </w:r>
      <w:hyperlink r:id="rId11">
        <w:r>
          <w:rPr>
            <w:rStyle w:val="Hyperlink"/>
            <w:rFonts w:ascii="Arial" w:hAnsi="Arial" w:cs="Arial"/>
          </w:rPr>
          <w:t>Risk Assessment Guidance Document</w:t>
        </w:r>
      </w:hyperlink>
      <w:r>
        <w:rPr>
          <w:rFonts w:ascii="Arial" w:hAnsi="Arial" w:cs="Arial"/>
        </w:rPr>
        <w:t xml:space="preserve"> and the </w:t>
      </w:r>
      <w:hyperlink r:id="rId12">
        <w:r>
          <w:rPr>
            <w:rStyle w:val="Hyperlink"/>
            <w:rFonts w:ascii="Arial" w:hAnsi="Arial" w:cs="Arial"/>
          </w:rPr>
          <w:t>COVID-19 Risk assessment aide memoire.</w:t>
        </w:r>
      </w:hyperlink>
    </w:p>
    <w:p w14:paraId="373FC7D6" w14:textId="77777777" w:rsidR="00B52E44" w:rsidRDefault="00B52E44">
      <w:pPr>
        <w:shd w:val="clear" w:color="auto" w:fill="FFFFFF"/>
        <w:rPr>
          <w:rStyle w:val="Hyperlink"/>
          <w:rFonts w:ascii="Arial" w:hAnsi="Arial" w:cs="Arial"/>
        </w:rPr>
      </w:pPr>
    </w:p>
    <w:p w14:paraId="24E21FA8" w14:textId="77777777" w:rsidR="00B52E44" w:rsidRDefault="00000000">
      <w:pPr>
        <w:shd w:val="clear" w:color="auto" w:fill="FFFFFF"/>
        <w:rPr>
          <w:rFonts w:ascii="Arial" w:hAnsi="Arial" w:cs="Arial"/>
        </w:rPr>
      </w:pPr>
      <w:r>
        <w:rPr>
          <w:rFonts w:ascii="Arial" w:hAnsi="Arial" w:cs="Arial"/>
        </w:rPr>
        <w:t xml:space="preserve">For further guidance on anaphylaxis, refer to the </w:t>
      </w:r>
      <w:hyperlink r:id="rId13">
        <w:r>
          <w:rPr>
            <w:rStyle w:val="Hyperlink"/>
            <w:rFonts w:ascii="Arial" w:hAnsi="Arial" w:cs="Arial"/>
          </w:rPr>
          <w:t xml:space="preserve">Clinical guidance document – Allergies intolerances and </w:t>
        </w:r>
        <w:proofErr w:type="spellStart"/>
        <w:r>
          <w:rPr>
            <w:rStyle w:val="Hyperlink"/>
            <w:rFonts w:ascii="Arial" w:hAnsi="Arial" w:cs="Arial"/>
          </w:rPr>
          <w:t>sensitivites</w:t>
        </w:r>
        <w:proofErr w:type="spellEnd"/>
      </w:hyperlink>
    </w:p>
    <w:p w14:paraId="11E52B61" w14:textId="0659019A" w:rsidR="00B52E44" w:rsidRDefault="00000000">
      <w:pPr>
        <w:shd w:val="clear" w:color="auto" w:fill="FFFFFF"/>
      </w:pPr>
      <w:r>
        <w:t>​​</w:t>
      </w:r>
    </w:p>
    <w:p w14:paraId="1FBDD652" w14:textId="77777777" w:rsidR="00B52E44" w:rsidRDefault="00000000">
      <w:pPr>
        <w:shd w:val="clear" w:color="auto" w:fill="FFFFFF"/>
        <w:rPr>
          <w:rFonts w:ascii="Arial" w:hAnsi="Arial" w:cs="Arial"/>
        </w:rPr>
      </w:pPr>
      <w:r>
        <w:rPr>
          <w:rFonts w:ascii="Arial" w:hAnsi="Arial" w:cs="Arial"/>
        </w:rPr>
        <w:t xml:space="preserve"> </w:t>
      </w:r>
    </w:p>
    <w:p w14:paraId="69D7626D" w14:textId="77777777" w:rsidR="00B52E44" w:rsidRDefault="00000000">
      <w:pPr>
        <w:shd w:val="clear" w:color="auto" w:fill="FFFFFF"/>
        <w:rPr>
          <w:rFonts w:ascii="Arial" w:hAnsi="Arial" w:cs="Arial"/>
        </w:rPr>
      </w:pPr>
      <w:r>
        <w:rPr>
          <w:rFonts w:ascii="Arial" w:hAnsi="Arial" w:cs="Arial"/>
        </w:rPr>
        <w:br/>
      </w:r>
    </w:p>
    <w:p w14:paraId="06E7EF94" w14:textId="77777777" w:rsidR="00B52E44" w:rsidRDefault="00000000">
      <w:pPr>
        <w:pStyle w:val="ListParagraph"/>
        <w:numPr>
          <w:ilvl w:val="0"/>
          <w:numId w:val="12"/>
        </w:numPr>
        <w:shd w:val="clear" w:color="auto" w:fill="FFFFFF"/>
      </w:pPr>
      <w:hyperlink r:id="rId14">
        <w:r>
          <w:rPr>
            <w:rStyle w:val="Hyperlink"/>
            <w:rFonts w:ascii="Arial" w:hAnsi="Arial" w:cs="Arial"/>
          </w:rPr>
          <w:t>Basic Life Support (BLS) (Adults)</w:t>
        </w:r>
      </w:hyperlink>
      <w:r>
        <w:rPr>
          <w:rFonts w:ascii="Arial" w:hAnsi="Arial" w:cs="Arial"/>
        </w:rPr>
        <w:t xml:space="preserve"> </w:t>
      </w:r>
    </w:p>
    <w:p w14:paraId="0ADEBD89" w14:textId="77777777" w:rsidR="00B52E44" w:rsidRDefault="00000000">
      <w:pPr>
        <w:pStyle w:val="ListParagraph"/>
        <w:numPr>
          <w:ilvl w:val="0"/>
          <w:numId w:val="12"/>
        </w:numPr>
        <w:shd w:val="clear" w:color="auto" w:fill="FFFFFF"/>
      </w:pPr>
      <w:hyperlink r:id="rId15">
        <w:r>
          <w:rPr>
            <w:rStyle w:val="Hyperlink"/>
            <w:rFonts w:ascii="Arial" w:hAnsi="Arial" w:cs="Arial"/>
          </w:rPr>
          <w:t>Basic Life Support (BLS) (Children and Infants)</w:t>
        </w:r>
      </w:hyperlink>
      <w:r>
        <w:rPr>
          <w:rFonts w:ascii="Arial" w:hAnsi="Arial" w:cs="Arial"/>
        </w:rPr>
        <w:t xml:space="preserve"> </w:t>
      </w:r>
    </w:p>
    <w:p w14:paraId="1E19F029" w14:textId="77777777" w:rsidR="00B52E44" w:rsidRDefault="00000000">
      <w:pPr>
        <w:pStyle w:val="ListParagraph"/>
        <w:numPr>
          <w:ilvl w:val="0"/>
          <w:numId w:val="12"/>
        </w:numPr>
        <w:shd w:val="clear" w:color="auto" w:fill="FFFFFF"/>
      </w:pPr>
      <w:hyperlink r:id="rId16">
        <w:r>
          <w:rPr>
            <w:rStyle w:val="Hyperlink"/>
            <w:rFonts w:ascii="Arial" w:hAnsi="Arial" w:cs="Arial"/>
          </w:rPr>
          <w:t>Anaphylaxis</w:t>
        </w:r>
      </w:hyperlink>
    </w:p>
    <w:p w14:paraId="641F21FE" w14:textId="77777777" w:rsidR="00B52E44" w:rsidRDefault="00000000">
      <w:pPr>
        <w:pStyle w:val="ListParagraph"/>
        <w:numPr>
          <w:ilvl w:val="0"/>
          <w:numId w:val="12"/>
        </w:numPr>
        <w:shd w:val="clear" w:color="auto" w:fill="FFFFFF"/>
      </w:pPr>
      <w:hyperlink r:id="rId17">
        <w:r>
          <w:rPr>
            <w:rStyle w:val="Hyperlink"/>
            <w:rFonts w:ascii="Arial" w:hAnsi="Arial" w:cs="Arial"/>
          </w:rPr>
          <w:t>Mental capacity act</w:t>
        </w:r>
      </w:hyperlink>
      <w:bookmarkStart w:id="4" w:name="move118796856"/>
      <w:bookmarkEnd w:id="4"/>
    </w:p>
    <w:p w14:paraId="196809F5" w14:textId="77777777" w:rsidR="00B52E44" w:rsidRDefault="00000000">
      <w:pPr>
        <w:pStyle w:val="ListParagraph"/>
        <w:numPr>
          <w:ilvl w:val="0"/>
          <w:numId w:val="12"/>
        </w:numPr>
        <w:shd w:val="clear" w:color="auto" w:fill="FFFFFF"/>
      </w:pPr>
      <w:hyperlink r:id="rId18" w:anchor="collapse_2086" w:history="1">
        <w:r>
          <w:rPr>
            <w:rStyle w:val="Hyperlink"/>
            <w:rFonts w:ascii="Arial" w:hAnsi="Arial" w:cs="Arial"/>
          </w:rPr>
          <w:t>Risk assessments including COSHH</w:t>
        </w:r>
      </w:hyperlink>
    </w:p>
    <w:p w14:paraId="4752B912" w14:textId="77777777" w:rsidR="00B52E44" w:rsidRDefault="00000000">
      <w:pPr>
        <w:pStyle w:val="Heading2"/>
        <w:rPr>
          <w:rFonts w:ascii="Arial" w:hAnsi="Arial" w:cs="Arial"/>
          <w:smallCaps w:val="0"/>
          <w:sz w:val="24"/>
          <w:szCs w:val="24"/>
          <w:lang w:val="en-GB"/>
        </w:rPr>
      </w:pPr>
      <w:bookmarkStart w:id="5" w:name="_Toc119930233"/>
      <w:r>
        <w:rPr>
          <w:rFonts w:ascii="Arial" w:hAnsi="Arial" w:cs="Arial"/>
          <w:smallCaps w:val="0"/>
          <w:sz w:val="24"/>
          <w:szCs w:val="24"/>
          <w:lang w:val="en-GB"/>
        </w:rPr>
        <w:t>Status</w:t>
      </w:r>
      <w:bookmarkEnd w:id="5"/>
    </w:p>
    <w:p w14:paraId="4B92C2CD" w14:textId="77777777" w:rsidR="00B52E44" w:rsidRDefault="00B52E44">
      <w:pPr>
        <w:rPr>
          <w:rFonts w:cs="Calibri"/>
        </w:rPr>
      </w:pPr>
    </w:p>
    <w:p w14:paraId="58481574" w14:textId="75E1E673" w:rsidR="00B52E44" w:rsidRDefault="00542C91">
      <w:r>
        <w:rPr>
          <w:rFonts w:ascii="Arial" w:hAnsi="Arial" w:cs="Arial"/>
        </w:rPr>
        <w:t xml:space="preserve">Sheerwater Health Centre </w:t>
      </w:r>
      <w:r>
        <w:rPr>
          <w:rFonts w:ascii="Arial" w:eastAsia="Times New Roman" w:hAnsi="Arial" w:cs="Arial"/>
          <w:lang w:eastAsia="en-GB"/>
        </w:rPr>
        <w:t xml:space="preserve">aims to design and implement policies and procedures that meet the diverse needs of our service and workforce, ensuring that none are placed at a disadvantage over others, in accordance with the </w:t>
      </w:r>
      <w:hyperlink r:id="rId19">
        <w:r>
          <w:rPr>
            <w:rFonts w:ascii="Arial" w:eastAsia="Times New Roman" w:hAnsi="Arial" w:cs="Arial"/>
            <w:color w:val="0563C1"/>
            <w:u w:val="single"/>
            <w:lang w:eastAsia="en-GB"/>
          </w:rPr>
          <w:t>Equality Act 2010</w:t>
        </w:r>
      </w:hyperlink>
      <w:r>
        <w:rPr>
          <w:rFonts w:ascii="Arial" w:eastAsia="Times New Roman" w:hAnsi="Arial" w:cs="Arial"/>
          <w:lang w:eastAsia="en-GB"/>
        </w:rPr>
        <w:t xml:space="preserve">. </w:t>
      </w:r>
    </w:p>
    <w:p w14:paraId="606BDAF4" w14:textId="77777777" w:rsidR="00B52E44" w:rsidRDefault="00B52E44">
      <w:pPr>
        <w:rPr>
          <w:rFonts w:ascii="Arial" w:eastAsia="Times New Roman" w:hAnsi="Arial" w:cs="Arial"/>
          <w:lang w:eastAsia="en-GB"/>
        </w:rPr>
      </w:pPr>
    </w:p>
    <w:p w14:paraId="24BBBE59" w14:textId="77777777" w:rsidR="00B52E44" w:rsidRDefault="00000000">
      <w:r>
        <w:rPr>
          <w:rFonts w:ascii="Arial" w:eastAsia="Times New Roman" w:hAnsi="Arial" w:cs="Arial"/>
          <w:lang w:eastAsia="en-GB"/>
        </w:rPr>
        <w:t>Consideration has been given to the impact this policy might have</w:t>
      </w:r>
      <w:r>
        <w:rPr>
          <w:rFonts w:ascii="Arial" w:eastAsia="Times New Roman" w:hAnsi="Arial" w:cs="Arial"/>
          <w:color w:val="FF0000"/>
          <w:lang w:eastAsia="en-GB"/>
        </w:rPr>
        <w:t xml:space="preserve"> </w:t>
      </w:r>
      <w:r>
        <w:rPr>
          <w:rFonts w:ascii="Arial" w:eastAsia="Times New Roman" w:hAnsi="Arial" w:cs="Arial"/>
          <w:lang w:eastAsia="en-GB"/>
        </w:rPr>
        <w:t>regarding the individual protected characteristics of those to whom it applies. This document and any procedures contained within it are non-contractual and may be modified or withdrawn at any time. For the avoidance of doubt, it does not form part of your contract of employment.</w:t>
      </w:r>
      <w:bookmarkStart w:id="6" w:name="_Toc119405652"/>
      <w:bookmarkEnd w:id="6"/>
    </w:p>
    <w:p w14:paraId="518231E6" w14:textId="77777777" w:rsidR="00B52E44" w:rsidRDefault="00000000">
      <w:pPr>
        <w:pStyle w:val="Heading1"/>
        <w:keepLines/>
        <w:pBdr>
          <w:bottom w:val="single" w:sz="4" w:space="1" w:color="595959"/>
        </w:pBdr>
        <w:spacing w:before="360" w:after="160" w:line="259" w:lineRule="auto"/>
        <w:rPr>
          <w:sz w:val="28"/>
          <w:szCs w:val="28"/>
        </w:rPr>
      </w:pPr>
      <w:bookmarkStart w:id="7" w:name="move11940506621"/>
      <w:bookmarkStart w:id="8" w:name="_Toc119930234"/>
      <w:bookmarkEnd w:id="7"/>
      <w:r>
        <w:rPr>
          <w:sz w:val="28"/>
          <w:szCs w:val="28"/>
        </w:rPr>
        <w:lastRenderedPageBreak/>
        <w:t>Emergencies in general practice</w:t>
      </w:r>
      <w:bookmarkEnd w:id="8"/>
    </w:p>
    <w:p w14:paraId="0AC12F08" w14:textId="77777777" w:rsidR="00B52E44" w:rsidRDefault="00000000">
      <w:pPr>
        <w:pStyle w:val="Heading2"/>
        <w:rPr>
          <w:rFonts w:ascii="Arial" w:hAnsi="Arial" w:cs="Arial"/>
          <w:smallCaps w:val="0"/>
          <w:sz w:val="24"/>
          <w:szCs w:val="24"/>
          <w:lang w:val="en-GB"/>
        </w:rPr>
      </w:pPr>
      <w:bookmarkStart w:id="9" w:name="_Toc119930235"/>
      <w:r>
        <w:rPr>
          <w:rFonts w:ascii="Arial" w:hAnsi="Arial" w:cs="Arial"/>
          <w:smallCaps w:val="0"/>
          <w:sz w:val="24"/>
          <w:szCs w:val="24"/>
          <w:lang w:val="en-GB"/>
        </w:rPr>
        <w:t>Early diagnosis</w:t>
      </w:r>
      <w:bookmarkEnd w:id="9"/>
    </w:p>
    <w:p w14:paraId="3035FDA7" w14:textId="77777777" w:rsidR="00B52E44" w:rsidRDefault="00B52E44"/>
    <w:p w14:paraId="2250CEE7" w14:textId="77777777" w:rsidR="00B52E44" w:rsidRDefault="00000000">
      <w:r>
        <w:rPr>
          <w:rFonts w:ascii="Arial" w:hAnsi="Arial" w:cs="Arial"/>
          <w:color w:val="000000"/>
        </w:rPr>
        <w:t xml:space="preserve">As stated in NHSE’s </w:t>
      </w:r>
      <w:hyperlink r:id="rId20">
        <w:r>
          <w:rPr>
            <w:rStyle w:val="Hyperlink"/>
            <w:rFonts w:ascii="Arial" w:hAnsi="Arial" w:cs="Arial"/>
          </w:rPr>
          <w:t>Transforming urgent and emergency care services</w:t>
        </w:r>
      </w:hyperlink>
      <w:r>
        <w:rPr>
          <w:rFonts w:ascii="Arial" w:hAnsi="Arial" w:cs="Arial"/>
        </w:rPr>
        <w:t xml:space="preserve">, GPs have more contact with patients than any other element of the NHS. Early diagnosis and treatment in the primary care setting will reduce harm and distress for the patient. Effective and timely responses can avoid unwell adults and children being driven to use emergency departments.  </w:t>
      </w:r>
    </w:p>
    <w:p w14:paraId="111E4897" w14:textId="77777777" w:rsidR="00B52E44" w:rsidRDefault="00000000">
      <w:pPr>
        <w:pStyle w:val="Heading2"/>
        <w:rPr>
          <w:rFonts w:ascii="Arial" w:hAnsi="Arial" w:cs="Arial"/>
          <w:smallCaps w:val="0"/>
          <w:sz w:val="24"/>
          <w:szCs w:val="24"/>
          <w:lang w:val="en-GB"/>
        </w:rPr>
      </w:pPr>
      <w:bookmarkStart w:id="10" w:name="_Toc119930236"/>
      <w:r>
        <w:rPr>
          <w:rFonts w:ascii="Arial" w:hAnsi="Arial" w:cs="Arial"/>
          <w:smallCaps w:val="0"/>
          <w:sz w:val="24"/>
          <w:szCs w:val="24"/>
          <w:lang w:val="en-GB"/>
        </w:rPr>
        <w:t>Classifications of medical emergencies</w:t>
      </w:r>
      <w:bookmarkEnd w:id="10"/>
    </w:p>
    <w:p w14:paraId="51D38612" w14:textId="77777777" w:rsidR="00B52E44" w:rsidRDefault="00B52E44"/>
    <w:p w14:paraId="3ACB49BD" w14:textId="77777777" w:rsidR="00B52E44" w:rsidRDefault="00000000">
      <w:pPr>
        <w:rPr>
          <w:rFonts w:ascii="Arial" w:hAnsi="Arial" w:cs="Arial"/>
        </w:rPr>
      </w:pPr>
      <w:r>
        <w:rPr>
          <w:rFonts w:ascii="Arial" w:hAnsi="Arial" w:cs="Arial"/>
        </w:rPr>
        <w:t>In general practice, medical emergencies have been classified as:</w:t>
      </w:r>
    </w:p>
    <w:p w14:paraId="23D8B266" w14:textId="77777777" w:rsidR="00B52E44" w:rsidRDefault="00B52E44">
      <w:pPr>
        <w:rPr>
          <w:rFonts w:ascii="Arial" w:hAnsi="Arial" w:cs="Arial"/>
        </w:rPr>
      </w:pPr>
    </w:p>
    <w:p w14:paraId="4B40CB9F" w14:textId="77777777" w:rsidR="00B52E44" w:rsidRDefault="00000000">
      <w:pPr>
        <w:pStyle w:val="ListParagraph"/>
        <w:numPr>
          <w:ilvl w:val="0"/>
          <w:numId w:val="2"/>
        </w:numPr>
        <w:rPr>
          <w:rFonts w:ascii="Arial" w:hAnsi="Arial" w:cs="Arial"/>
        </w:rPr>
      </w:pPr>
      <w:r>
        <w:rPr>
          <w:rFonts w:ascii="Arial" w:hAnsi="Arial" w:cs="Arial"/>
        </w:rPr>
        <w:t>Cardiovascular</w:t>
      </w:r>
    </w:p>
    <w:p w14:paraId="0FD06111" w14:textId="77777777" w:rsidR="00B52E44" w:rsidRDefault="00000000">
      <w:pPr>
        <w:pStyle w:val="ListParagraph"/>
        <w:numPr>
          <w:ilvl w:val="0"/>
          <w:numId w:val="2"/>
        </w:numPr>
        <w:rPr>
          <w:rFonts w:ascii="Arial" w:hAnsi="Arial" w:cs="Arial"/>
        </w:rPr>
      </w:pPr>
      <w:r>
        <w:rPr>
          <w:rFonts w:ascii="Arial" w:hAnsi="Arial" w:cs="Arial"/>
        </w:rPr>
        <w:t>Respiratory</w:t>
      </w:r>
    </w:p>
    <w:p w14:paraId="48287588" w14:textId="77777777" w:rsidR="00B52E44" w:rsidRDefault="00000000">
      <w:pPr>
        <w:pStyle w:val="ListParagraph"/>
        <w:numPr>
          <w:ilvl w:val="0"/>
          <w:numId w:val="2"/>
        </w:numPr>
        <w:rPr>
          <w:rFonts w:ascii="Arial" w:hAnsi="Arial" w:cs="Arial"/>
        </w:rPr>
      </w:pPr>
      <w:r>
        <w:rPr>
          <w:rFonts w:ascii="Arial" w:hAnsi="Arial" w:cs="Arial"/>
        </w:rPr>
        <w:t>Gastrointestinal</w:t>
      </w:r>
    </w:p>
    <w:p w14:paraId="5331D0A0" w14:textId="77777777" w:rsidR="00B52E44" w:rsidRDefault="00000000">
      <w:pPr>
        <w:pStyle w:val="ListParagraph"/>
        <w:numPr>
          <w:ilvl w:val="0"/>
          <w:numId w:val="2"/>
        </w:numPr>
        <w:rPr>
          <w:rFonts w:ascii="Arial" w:hAnsi="Arial" w:cs="Arial"/>
        </w:rPr>
      </w:pPr>
      <w:r>
        <w:rPr>
          <w:rFonts w:ascii="Arial" w:hAnsi="Arial" w:cs="Arial"/>
        </w:rPr>
        <w:t>Endocrine</w:t>
      </w:r>
    </w:p>
    <w:p w14:paraId="391D6B62" w14:textId="77777777" w:rsidR="00B52E44" w:rsidRDefault="00000000">
      <w:pPr>
        <w:pStyle w:val="ListParagraph"/>
        <w:numPr>
          <w:ilvl w:val="0"/>
          <w:numId w:val="2"/>
        </w:numPr>
        <w:rPr>
          <w:rFonts w:ascii="Arial" w:hAnsi="Arial" w:cs="Arial"/>
        </w:rPr>
      </w:pPr>
      <w:r>
        <w:rPr>
          <w:rFonts w:ascii="Arial" w:hAnsi="Arial" w:cs="Arial"/>
        </w:rPr>
        <w:t>Neurological</w:t>
      </w:r>
    </w:p>
    <w:p w14:paraId="38AD5F9A" w14:textId="77777777" w:rsidR="00B52E44" w:rsidRDefault="00000000">
      <w:pPr>
        <w:pStyle w:val="ListParagraph"/>
        <w:numPr>
          <w:ilvl w:val="0"/>
          <w:numId w:val="2"/>
        </w:numPr>
        <w:rPr>
          <w:rFonts w:ascii="Arial" w:hAnsi="Arial" w:cs="Arial"/>
        </w:rPr>
      </w:pPr>
      <w:r>
        <w:rPr>
          <w:rFonts w:ascii="Arial" w:hAnsi="Arial" w:cs="Arial"/>
        </w:rPr>
        <w:t>Overdoses and poisoning</w:t>
      </w:r>
    </w:p>
    <w:p w14:paraId="6E3957FB" w14:textId="77777777" w:rsidR="00B52E44" w:rsidRDefault="00000000">
      <w:pPr>
        <w:pStyle w:val="ListParagraph"/>
        <w:numPr>
          <w:ilvl w:val="0"/>
          <w:numId w:val="2"/>
        </w:numPr>
        <w:rPr>
          <w:rFonts w:ascii="Arial" w:hAnsi="Arial" w:cs="Arial"/>
        </w:rPr>
      </w:pPr>
      <w:r>
        <w:rPr>
          <w:rFonts w:ascii="Arial" w:hAnsi="Arial" w:cs="Arial"/>
        </w:rPr>
        <w:t>Other medical emergencies</w:t>
      </w:r>
    </w:p>
    <w:p w14:paraId="28F12B80" w14:textId="77777777" w:rsidR="00B52E44" w:rsidRDefault="00B52E44">
      <w:pPr>
        <w:rPr>
          <w:rFonts w:ascii="Arial" w:hAnsi="Arial" w:cs="Arial"/>
        </w:rPr>
      </w:pPr>
    </w:p>
    <w:p w14:paraId="471E95F5" w14:textId="77777777" w:rsidR="00B52E44" w:rsidRDefault="00000000">
      <w:pPr>
        <w:rPr>
          <w:rFonts w:ascii="Arial" w:hAnsi="Arial" w:cs="Arial"/>
        </w:rPr>
      </w:pPr>
      <w:r>
        <w:rPr>
          <w:rFonts w:ascii="Arial" w:hAnsi="Arial" w:cs="Arial"/>
        </w:rPr>
        <w:t>In addition to the above, the following have been classified as ‘other’ medical emergencies:</w:t>
      </w:r>
    </w:p>
    <w:p w14:paraId="7B6BA447" w14:textId="77777777" w:rsidR="00B52E44" w:rsidRDefault="00B52E44">
      <w:pPr>
        <w:rPr>
          <w:rFonts w:ascii="Arial" w:hAnsi="Arial" w:cs="Arial"/>
        </w:rPr>
      </w:pPr>
    </w:p>
    <w:p w14:paraId="6B8A348C" w14:textId="77777777" w:rsidR="00B52E44" w:rsidRDefault="00000000">
      <w:pPr>
        <w:pStyle w:val="ListParagraph"/>
        <w:numPr>
          <w:ilvl w:val="0"/>
          <w:numId w:val="3"/>
        </w:numPr>
        <w:rPr>
          <w:rFonts w:ascii="Arial" w:hAnsi="Arial" w:cs="Arial"/>
        </w:rPr>
      </w:pPr>
      <w:r>
        <w:rPr>
          <w:rFonts w:ascii="Arial" w:hAnsi="Arial" w:cs="Arial"/>
        </w:rPr>
        <w:t>Sickle cell crisis</w:t>
      </w:r>
    </w:p>
    <w:p w14:paraId="300EC955" w14:textId="77777777" w:rsidR="00B52E44" w:rsidRDefault="00000000">
      <w:pPr>
        <w:pStyle w:val="ListParagraph"/>
        <w:numPr>
          <w:ilvl w:val="0"/>
          <w:numId w:val="3"/>
        </w:numPr>
        <w:rPr>
          <w:rFonts w:ascii="Arial" w:hAnsi="Arial" w:cs="Arial"/>
        </w:rPr>
      </w:pPr>
      <w:r>
        <w:rPr>
          <w:rFonts w:ascii="Arial" w:hAnsi="Arial" w:cs="Arial"/>
        </w:rPr>
        <w:t>Acute renal failure</w:t>
      </w:r>
    </w:p>
    <w:p w14:paraId="424EA010" w14:textId="77777777" w:rsidR="00B52E44" w:rsidRDefault="00000000">
      <w:pPr>
        <w:pStyle w:val="ListParagraph"/>
        <w:numPr>
          <w:ilvl w:val="0"/>
          <w:numId w:val="3"/>
        </w:numPr>
        <w:rPr>
          <w:rFonts w:ascii="Arial" w:hAnsi="Arial" w:cs="Arial"/>
        </w:rPr>
      </w:pPr>
      <w:r>
        <w:rPr>
          <w:rFonts w:ascii="Arial" w:hAnsi="Arial" w:cs="Arial"/>
        </w:rPr>
        <w:t>Delirium tremens</w:t>
      </w:r>
    </w:p>
    <w:p w14:paraId="5D5F6C03" w14:textId="77777777" w:rsidR="00B52E44" w:rsidRDefault="00000000">
      <w:pPr>
        <w:pStyle w:val="ListParagraph"/>
        <w:numPr>
          <w:ilvl w:val="0"/>
          <w:numId w:val="3"/>
        </w:numPr>
        <w:rPr>
          <w:rFonts w:ascii="Arial" w:hAnsi="Arial" w:cs="Arial"/>
        </w:rPr>
      </w:pPr>
      <w:r>
        <w:rPr>
          <w:rFonts w:ascii="Arial" w:hAnsi="Arial" w:cs="Arial"/>
        </w:rPr>
        <w:t>Hyperpyrexia (heat stroke)</w:t>
      </w:r>
    </w:p>
    <w:p w14:paraId="30BFA601" w14:textId="77777777" w:rsidR="00B52E44" w:rsidRDefault="00000000">
      <w:pPr>
        <w:pStyle w:val="ListParagraph"/>
        <w:numPr>
          <w:ilvl w:val="0"/>
          <w:numId w:val="3"/>
        </w:numPr>
        <w:rPr>
          <w:rFonts w:ascii="Arial" w:hAnsi="Arial" w:cs="Arial"/>
        </w:rPr>
      </w:pPr>
      <w:r>
        <w:rPr>
          <w:rFonts w:ascii="Arial" w:hAnsi="Arial" w:cs="Arial"/>
        </w:rPr>
        <w:t>Malignant hyperpyrexia</w:t>
      </w:r>
    </w:p>
    <w:p w14:paraId="435031F4" w14:textId="77777777" w:rsidR="00B52E44" w:rsidRDefault="00000000">
      <w:pPr>
        <w:pStyle w:val="Heading2"/>
        <w:rPr>
          <w:rFonts w:ascii="Arial" w:hAnsi="Arial" w:cs="Arial"/>
          <w:smallCaps w:val="0"/>
          <w:sz w:val="24"/>
          <w:szCs w:val="24"/>
          <w:lang w:val="en-GB"/>
        </w:rPr>
      </w:pPr>
      <w:bookmarkStart w:id="11" w:name="_Toc119930237"/>
      <w:r>
        <w:rPr>
          <w:rFonts w:ascii="Arial" w:hAnsi="Arial" w:cs="Arial"/>
          <w:smallCaps w:val="0"/>
          <w:sz w:val="24"/>
          <w:szCs w:val="24"/>
          <w:lang w:val="en-GB"/>
        </w:rPr>
        <w:t>Initial management by clinicians</w:t>
      </w:r>
      <w:bookmarkEnd w:id="11"/>
    </w:p>
    <w:p w14:paraId="76994351" w14:textId="77777777" w:rsidR="00B52E44" w:rsidRDefault="00B52E44"/>
    <w:p w14:paraId="70B866EB" w14:textId="77777777" w:rsidR="00B52E44" w:rsidRDefault="00000000">
      <w:pPr>
        <w:rPr>
          <w:rFonts w:ascii="Arial" w:hAnsi="Arial" w:cs="Arial"/>
        </w:rPr>
      </w:pPr>
      <w:r>
        <w:rPr>
          <w:rFonts w:ascii="Arial" w:hAnsi="Arial" w:cs="Arial"/>
        </w:rPr>
        <w:t>Clinicians presented with such emergencies should determine whether it is appropriate to manage the patient in the practice setting, or if the patient should be referred to hospital via emergency ambulance.</w:t>
      </w:r>
    </w:p>
    <w:p w14:paraId="6D51462C" w14:textId="77777777" w:rsidR="00B52E44" w:rsidRDefault="00B52E44">
      <w:pPr>
        <w:rPr>
          <w:rFonts w:ascii="Arial" w:hAnsi="Arial" w:cs="Arial"/>
        </w:rPr>
      </w:pPr>
    </w:p>
    <w:p w14:paraId="61FDE91D" w14:textId="77777777" w:rsidR="00B52E44" w:rsidRDefault="00000000">
      <w:pPr>
        <w:rPr>
          <w:rFonts w:ascii="Arial" w:hAnsi="Arial" w:cs="Arial"/>
        </w:rPr>
      </w:pPr>
      <w:r>
        <w:rPr>
          <w:rFonts w:ascii="Arial" w:hAnsi="Arial" w:cs="Arial"/>
        </w:rPr>
        <w:t>Some medical emergencies can be managed completely within the practice setting whilst others will require hospital referral following initial management. The determining factors for on-site management are:</w:t>
      </w:r>
    </w:p>
    <w:p w14:paraId="64E4E35C" w14:textId="77777777" w:rsidR="00B52E44" w:rsidRDefault="00B52E44">
      <w:pPr>
        <w:rPr>
          <w:rFonts w:ascii="Arial" w:hAnsi="Arial" w:cs="Arial"/>
        </w:rPr>
      </w:pPr>
    </w:p>
    <w:p w14:paraId="3BF33ADB" w14:textId="77777777" w:rsidR="00B52E44" w:rsidRDefault="00000000">
      <w:pPr>
        <w:pStyle w:val="ListParagraph"/>
        <w:numPr>
          <w:ilvl w:val="0"/>
          <w:numId w:val="4"/>
        </w:numPr>
        <w:rPr>
          <w:rFonts w:ascii="Arial" w:hAnsi="Arial" w:cs="Arial"/>
        </w:rPr>
      </w:pPr>
      <w:r>
        <w:rPr>
          <w:rFonts w:ascii="Arial" w:hAnsi="Arial" w:cs="Arial"/>
        </w:rPr>
        <w:t>Level of clinical expertise available</w:t>
      </w:r>
    </w:p>
    <w:p w14:paraId="7D25B5C0" w14:textId="77777777" w:rsidR="00B52E44" w:rsidRDefault="00000000">
      <w:pPr>
        <w:pStyle w:val="ListParagraph"/>
        <w:numPr>
          <w:ilvl w:val="0"/>
          <w:numId w:val="4"/>
        </w:numPr>
        <w:rPr>
          <w:rFonts w:ascii="Arial" w:hAnsi="Arial" w:cs="Arial"/>
        </w:rPr>
      </w:pPr>
      <w:r>
        <w:rPr>
          <w:rFonts w:ascii="Arial" w:hAnsi="Arial" w:cs="Arial"/>
        </w:rPr>
        <w:t>Severity of the presenting condition</w:t>
      </w:r>
    </w:p>
    <w:p w14:paraId="2ABA90EB" w14:textId="77777777" w:rsidR="00B52E44" w:rsidRDefault="00000000">
      <w:pPr>
        <w:pStyle w:val="ListParagraph"/>
        <w:numPr>
          <w:ilvl w:val="0"/>
          <w:numId w:val="4"/>
        </w:numPr>
        <w:rPr>
          <w:rFonts w:ascii="Arial" w:hAnsi="Arial" w:cs="Arial"/>
        </w:rPr>
      </w:pPr>
      <w:r>
        <w:rPr>
          <w:rFonts w:ascii="Arial" w:hAnsi="Arial" w:cs="Arial"/>
        </w:rPr>
        <w:t>Proximity of the nearest secondary care facility</w:t>
      </w:r>
    </w:p>
    <w:p w14:paraId="52565F1D" w14:textId="77777777" w:rsidR="00B52E44" w:rsidRDefault="00000000">
      <w:pPr>
        <w:pStyle w:val="ListParagraph"/>
        <w:numPr>
          <w:ilvl w:val="0"/>
          <w:numId w:val="4"/>
        </w:numPr>
        <w:rPr>
          <w:rFonts w:ascii="Arial" w:hAnsi="Arial" w:cs="Arial"/>
        </w:rPr>
      </w:pPr>
      <w:r>
        <w:rPr>
          <w:rFonts w:ascii="Arial" w:hAnsi="Arial" w:cs="Arial"/>
        </w:rPr>
        <w:t>Availability of paramedical crews to transfer the patient</w:t>
      </w:r>
    </w:p>
    <w:p w14:paraId="568BA9E9" w14:textId="77777777" w:rsidR="00B52E44" w:rsidRDefault="00B52E44">
      <w:pPr>
        <w:rPr>
          <w:rFonts w:ascii="Arial" w:hAnsi="Arial" w:cs="Arial"/>
        </w:rPr>
      </w:pPr>
    </w:p>
    <w:p w14:paraId="47022955" w14:textId="77777777" w:rsidR="00B52E44" w:rsidRDefault="00000000">
      <w:pPr>
        <w:rPr>
          <w:rFonts w:ascii="Arial" w:hAnsi="Arial" w:cs="Arial"/>
        </w:rPr>
      </w:pPr>
      <w:r>
        <w:rPr>
          <w:rFonts w:ascii="Arial" w:hAnsi="Arial" w:cs="Arial"/>
        </w:rPr>
        <w:t>The responsibility for the management of the patient rests with the clinician.</w:t>
      </w:r>
    </w:p>
    <w:p w14:paraId="38F88BFA" w14:textId="77777777" w:rsidR="00B52E44" w:rsidRDefault="00000000">
      <w:pPr>
        <w:pStyle w:val="Heading2"/>
        <w:rPr>
          <w:rFonts w:ascii="Arial" w:hAnsi="Arial" w:cs="Arial"/>
          <w:smallCaps w:val="0"/>
          <w:sz w:val="24"/>
          <w:szCs w:val="24"/>
          <w:lang w:val="en-GB"/>
        </w:rPr>
      </w:pPr>
      <w:bookmarkStart w:id="12" w:name="_Toc119930238"/>
      <w:r>
        <w:rPr>
          <w:rFonts w:ascii="Arial" w:hAnsi="Arial" w:cs="Arial"/>
          <w:smallCaps w:val="0"/>
          <w:sz w:val="24"/>
          <w:szCs w:val="24"/>
          <w:lang w:val="en-GB"/>
        </w:rPr>
        <w:t>ABCDE approach to resuscitation</w:t>
      </w:r>
      <w:bookmarkEnd w:id="12"/>
    </w:p>
    <w:p w14:paraId="321ED774" w14:textId="77777777" w:rsidR="00B52E44" w:rsidRDefault="00B52E44">
      <w:pPr>
        <w:rPr>
          <w:rFonts w:ascii="Arial" w:hAnsi="Arial" w:cs="Arial"/>
        </w:rPr>
      </w:pPr>
    </w:p>
    <w:p w14:paraId="643C4A9D" w14:textId="77777777" w:rsidR="00B52E44" w:rsidRDefault="00000000">
      <w:r>
        <w:rPr>
          <w:rFonts w:ascii="Arial" w:hAnsi="Arial" w:cs="Arial"/>
        </w:rPr>
        <w:lastRenderedPageBreak/>
        <w:t xml:space="preserve">The Resuscitation Council UK recommends the </w:t>
      </w:r>
      <w:hyperlink r:id="rId21">
        <w:r>
          <w:rPr>
            <w:rStyle w:val="Hyperlink"/>
            <w:rFonts w:ascii="Arial" w:hAnsi="Arial" w:cs="Arial"/>
          </w:rPr>
          <w:t>ABCDE approach</w:t>
        </w:r>
      </w:hyperlink>
      <w:r>
        <w:rPr>
          <w:rFonts w:ascii="Arial" w:hAnsi="Arial" w:cs="Arial"/>
        </w:rPr>
        <w:t xml:space="preserve"> to resuscitation. The underlying approach to all deteriorating or critically ill patients is uniform, namely:</w:t>
      </w:r>
    </w:p>
    <w:p w14:paraId="78076231" w14:textId="77777777" w:rsidR="00B52E44" w:rsidRDefault="00B52E44">
      <w:pPr>
        <w:rPr>
          <w:rFonts w:ascii="Arial" w:hAnsi="Arial" w:cs="Arial"/>
        </w:rPr>
      </w:pPr>
    </w:p>
    <w:p w14:paraId="4E4EE6FD" w14:textId="77777777" w:rsidR="00B52E44" w:rsidRDefault="00000000">
      <w:pPr>
        <w:pStyle w:val="ListParagraph"/>
        <w:numPr>
          <w:ilvl w:val="0"/>
          <w:numId w:val="17"/>
        </w:numPr>
        <w:rPr>
          <w:rFonts w:ascii="Arial" w:hAnsi="Arial" w:cs="Arial"/>
        </w:rPr>
      </w:pPr>
      <w:r>
        <w:rPr>
          <w:rFonts w:ascii="Arial" w:hAnsi="Arial" w:cs="Arial"/>
        </w:rPr>
        <w:t>Use the Airway, Breathing, Circulation, Disability, Exposure (ABCDE) approach to assess and treat the patient</w:t>
      </w:r>
    </w:p>
    <w:p w14:paraId="4400550C" w14:textId="77777777" w:rsidR="00B52E44" w:rsidRDefault="00B52E44">
      <w:pPr>
        <w:ind w:left="360"/>
        <w:rPr>
          <w:rFonts w:ascii="Arial" w:hAnsi="Arial" w:cs="Arial"/>
        </w:rPr>
      </w:pPr>
    </w:p>
    <w:p w14:paraId="5BCB7EBB" w14:textId="77777777" w:rsidR="00B52E44" w:rsidRDefault="00000000">
      <w:pPr>
        <w:pStyle w:val="ListParagraph"/>
        <w:numPr>
          <w:ilvl w:val="0"/>
          <w:numId w:val="17"/>
        </w:numPr>
        <w:rPr>
          <w:rFonts w:ascii="Arial" w:hAnsi="Arial" w:cs="Arial"/>
        </w:rPr>
      </w:pPr>
      <w:r>
        <w:rPr>
          <w:rFonts w:ascii="Arial" w:hAnsi="Arial" w:cs="Arial"/>
        </w:rPr>
        <w:t>Complete an initial assessment and re-assess regularly</w:t>
      </w:r>
    </w:p>
    <w:p w14:paraId="28C9AFD1" w14:textId="77777777" w:rsidR="00B52E44" w:rsidRDefault="00B52E44">
      <w:pPr>
        <w:rPr>
          <w:rFonts w:ascii="Arial" w:hAnsi="Arial" w:cs="Arial"/>
        </w:rPr>
      </w:pPr>
    </w:p>
    <w:p w14:paraId="5C6A9D45" w14:textId="77777777" w:rsidR="00B52E44" w:rsidRDefault="00000000">
      <w:pPr>
        <w:pStyle w:val="ListParagraph"/>
        <w:numPr>
          <w:ilvl w:val="0"/>
          <w:numId w:val="17"/>
        </w:numPr>
        <w:rPr>
          <w:rFonts w:ascii="Arial" w:hAnsi="Arial" w:cs="Arial"/>
        </w:rPr>
      </w:pPr>
      <w:r>
        <w:rPr>
          <w:rFonts w:ascii="Arial" w:hAnsi="Arial" w:cs="Arial"/>
        </w:rPr>
        <w:t>Treat life-threatening problems before moving on to the next part of the assessment</w:t>
      </w:r>
    </w:p>
    <w:p w14:paraId="012050B0" w14:textId="77777777" w:rsidR="00B52E44" w:rsidRDefault="00B52E44">
      <w:pPr>
        <w:rPr>
          <w:rFonts w:ascii="Arial" w:hAnsi="Arial" w:cs="Arial"/>
        </w:rPr>
      </w:pPr>
    </w:p>
    <w:p w14:paraId="4FC423A3" w14:textId="77777777" w:rsidR="00B52E44" w:rsidRDefault="00000000">
      <w:pPr>
        <w:pStyle w:val="ListParagraph"/>
        <w:numPr>
          <w:ilvl w:val="0"/>
          <w:numId w:val="17"/>
        </w:numPr>
        <w:rPr>
          <w:rFonts w:ascii="Arial" w:hAnsi="Arial" w:cs="Arial"/>
        </w:rPr>
      </w:pPr>
      <w:r>
        <w:rPr>
          <w:rFonts w:ascii="Arial" w:hAnsi="Arial" w:cs="Arial"/>
        </w:rPr>
        <w:t>Assess the effects of the treatment</w:t>
      </w:r>
    </w:p>
    <w:p w14:paraId="32980ACB" w14:textId="77777777" w:rsidR="00B52E44" w:rsidRDefault="00B52E44">
      <w:pPr>
        <w:rPr>
          <w:rFonts w:ascii="Arial" w:hAnsi="Arial" w:cs="Arial"/>
        </w:rPr>
      </w:pPr>
    </w:p>
    <w:p w14:paraId="0DE2E63D" w14:textId="77777777" w:rsidR="00B52E44" w:rsidRDefault="00000000">
      <w:pPr>
        <w:pStyle w:val="ListParagraph"/>
        <w:numPr>
          <w:ilvl w:val="0"/>
          <w:numId w:val="17"/>
        </w:numPr>
        <w:rPr>
          <w:rFonts w:ascii="Arial" w:hAnsi="Arial" w:cs="Arial"/>
        </w:rPr>
      </w:pPr>
      <w:r>
        <w:rPr>
          <w:rFonts w:ascii="Arial" w:hAnsi="Arial" w:cs="Arial"/>
        </w:rPr>
        <w:t>Recognise when extra help is needed and call for appropriate help early</w:t>
      </w:r>
    </w:p>
    <w:p w14:paraId="54A7797E" w14:textId="77777777" w:rsidR="00B52E44" w:rsidRDefault="00B52E44">
      <w:pPr>
        <w:rPr>
          <w:rFonts w:ascii="Arial" w:hAnsi="Arial" w:cs="Arial"/>
        </w:rPr>
      </w:pPr>
    </w:p>
    <w:p w14:paraId="37ECAD9E" w14:textId="77777777" w:rsidR="00B52E44" w:rsidRDefault="00000000">
      <w:pPr>
        <w:pStyle w:val="ListParagraph"/>
        <w:numPr>
          <w:ilvl w:val="0"/>
          <w:numId w:val="17"/>
        </w:numPr>
        <w:rPr>
          <w:rFonts w:ascii="Arial" w:hAnsi="Arial" w:cs="Arial"/>
        </w:rPr>
      </w:pPr>
      <w:r>
        <w:rPr>
          <w:rFonts w:ascii="Arial" w:hAnsi="Arial" w:cs="Arial"/>
        </w:rPr>
        <w:t>Use all members of the organisation team to enable all necessary actions to be undertaken simultaneously</w:t>
      </w:r>
    </w:p>
    <w:p w14:paraId="0DCD4DE2" w14:textId="77777777" w:rsidR="00B52E44" w:rsidRDefault="00B52E44">
      <w:pPr>
        <w:rPr>
          <w:rFonts w:ascii="Arial" w:hAnsi="Arial" w:cs="Arial"/>
        </w:rPr>
      </w:pPr>
    </w:p>
    <w:p w14:paraId="18319585" w14:textId="77777777" w:rsidR="00B52E44" w:rsidRDefault="00000000">
      <w:pPr>
        <w:pStyle w:val="ListParagraph"/>
        <w:numPr>
          <w:ilvl w:val="0"/>
          <w:numId w:val="17"/>
        </w:numPr>
        <w:rPr>
          <w:rFonts w:ascii="Arial" w:hAnsi="Arial" w:cs="Arial"/>
        </w:rPr>
      </w:pPr>
      <w:r>
        <w:rPr>
          <w:rFonts w:ascii="Arial" w:hAnsi="Arial" w:cs="Arial"/>
        </w:rPr>
        <w:t>Communicate effectively using one of the following techniques/approaches:</w:t>
      </w:r>
    </w:p>
    <w:p w14:paraId="4141CE8E" w14:textId="77777777" w:rsidR="00B52E44" w:rsidRDefault="00B52E44">
      <w:pPr>
        <w:pStyle w:val="ListParagraph"/>
        <w:rPr>
          <w:rFonts w:ascii="Arial" w:hAnsi="Arial" w:cs="Arial"/>
        </w:rPr>
      </w:pPr>
    </w:p>
    <w:p w14:paraId="149E031E" w14:textId="77777777" w:rsidR="00B52E44" w:rsidRDefault="00000000">
      <w:pPr>
        <w:pStyle w:val="ListParagraph"/>
        <w:numPr>
          <w:ilvl w:val="1"/>
          <w:numId w:val="17"/>
        </w:numPr>
        <w:rPr>
          <w:rFonts w:ascii="Arial" w:hAnsi="Arial" w:cs="Arial"/>
        </w:rPr>
      </w:pPr>
      <w:r>
        <w:rPr>
          <w:rFonts w:ascii="Arial" w:hAnsi="Arial" w:cs="Arial"/>
        </w:rPr>
        <w:t>Situation, Background, Assessment, Recommendation (SBAR)</w:t>
      </w:r>
    </w:p>
    <w:p w14:paraId="0CEA4E19" w14:textId="77777777" w:rsidR="00B52E44" w:rsidRDefault="00000000">
      <w:pPr>
        <w:pStyle w:val="ListParagraph"/>
        <w:numPr>
          <w:ilvl w:val="1"/>
          <w:numId w:val="17"/>
        </w:numPr>
        <w:rPr>
          <w:rFonts w:ascii="Arial" w:hAnsi="Arial" w:cs="Arial"/>
        </w:rPr>
      </w:pPr>
      <w:r>
        <w:rPr>
          <w:rFonts w:ascii="Arial" w:hAnsi="Arial" w:cs="Arial"/>
        </w:rPr>
        <w:t xml:space="preserve">Reason, Story, Vital signs, Plan (RSVP) </w:t>
      </w:r>
    </w:p>
    <w:p w14:paraId="13C2D167" w14:textId="77777777" w:rsidR="00B52E44" w:rsidRDefault="00B52E44">
      <w:pPr>
        <w:pStyle w:val="ListParagraph"/>
        <w:ind w:left="1440"/>
        <w:rPr>
          <w:rFonts w:ascii="Arial" w:hAnsi="Arial" w:cs="Arial"/>
        </w:rPr>
      </w:pPr>
    </w:p>
    <w:p w14:paraId="33E8185D" w14:textId="77777777" w:rsidR="00B52E44" w:rsidRDefault="00000000">
      <w:pPr>
        <w:pStyle w:val="ListParagraph"/>
        <w:numPr>
          <w:ilvl w:val="0"/>
          <w:numId w:val="17"/>
        </w:numPr>
        <w:rPr>
          <w:rFonts w:ascii="Arial" w:hAnsi="Arial" w:cs="Arial"/>
        </w:rPr>
      </w:pPr>
      <w:r>
        <w:rPr>
          <w:rFonts w:ascii="Arial" w:hAnsi="Arial" w:cs="Arial"/>
        </w:rPr>
        <w:t>The aim of the initial treatment is to keep the patient alive and to achieve some clinical improvement to allow time for further treatment and making a diagnosis</w:t>
      </w:r>
    </w:p>
    <w:p w14:paraId="69FB673F" w14:textId="77777777" w:rsidR="00B52E44" w:rsidRDefault="00B52E44">
      <w:pPr>
        <w:ind w:left="360"/>
        <w:rPr>
          <w:rFonts w:ascii="Arial" w:hAnsi="Arial" w:cs="Arial"/>
        </w:rPr>
      </w:pPr>
    </w:p>
    <w:p w14:paraId="6CB4D651" w14:textId="77777777" w:rsidR="00B52E44" w:rsidRDefault="00000000">
      <w:pPr>
        <w:pStyle w:val="ListParagraph"/>
        <w:numPr>
          <w:ilvl w:val="0"/>
          <w:numId w:val="17"/>
        </w:numPr>
        <w:rPr>
          <w:rFonts w:ascii="Arial" w:hAnsi="Arial" w:cs="Arial"/>
        </w:rPr>
      </w:pPr>
      <w:r>
        <w:rPr>
          <w:rFonts w:ascii="Arial" w:hAnsi="Arial" w:cs="Arial"/>
        </w:rPr>
        <w:t>All are to be reminded that it may take a few minutes for treatments to work, so a short time is often needed before reassessing the patient for intervention</w:t>
      </w:r>
    </w:p>
    <w:p w14:paraId="708ED9FC" w14:textId="77777777" w:rsidR="00B52E44" w:rsidRDefault="00000000">
      <w:pPr>
        <w:pStyle w:val="Heading2"/>
        <w:rPr>
          <w:rFonts w:ascii="Arial" w:hAnsi="Arial" w:cs="Arial"/>
          <w:smallCaps w:val="0"/>
          <w:sz w:val="24"/>
          <w:szCs w:val="24"/>
          <w:lang w:val="en-GB"/>
        </w:rPr>
      </w:pPr>
      <w:bookmarkStart w:id="13" w:name="_Using_NEWS2"/>
      <w:bookmarkStart w:id="14" w:name="_Toc119930239"/>
      <w:bookmarkEnd w:id="13"/>
      <w:r>
        <w:rPr>
          <w:rFonts w:ascii="Arial" w:hAnsi="Arial" w:cs="Arial"/>
          <w:smallCaps w:val="0"/>
          <w:sz w:val="24"/>
          <w:szCs w:val="24"/>
          <w:lang w:val="en-GB"/>
        </w:rPr>
        <w:t>Using NEWS2</w:t>
      </w:r>
      <w:bookmarkEnd w:id="14"/>
      <w:r>
        <w:rPr>
          <w:rFonts w:ascii="Arial" w:hAnsi="Arial" w:cs="Arial"/>
          <w:smallCaps w:val="0"/>
          <w:sz w:val="24"/>
          <w:szCs w:val="24"/>
          <w:lang w:val="en-GB"/>
        </w:rPr>
        <w:t xml:space="preserve"> </w:t>
      </w:r>
    </w:p>
    <w:p w14:paraId="334D7C6D" w14:textId="77777777" w:rsidR="00B52E44" w:rsidRDefault="00B52E44">
      <w:pPr>
        <w:rPr>
          <w:rFonts w:ascii="Arial" w:hAnsi="Arial" w:cs="Arial"/>
        </w:rPr>
      </w:pPr>
    </w:p>
    <w:p w14:paraId="3EAB4062" w14:textId="77777777" w:rsidR="00B52E44" w:rsidRDefault="00000000">
      <w:r>
        <w:rPr>
          <w:rFonts w:ascii="Arial" w:hAnsi="Arial" w:cs="Arial"/>
        </w:rPr>
        <w:t xml:space="preserve">The National Early Warning Score or </w:t>
      </w:r>
      <w:hyperlink r:id="rId22">
        <w:r>
          <w:rPr>
            <w:rStyle w:val="Hyperlink"/>
            <w:rFonts w:ascii="Arial" w:hAnsi="Arial" w:cs="Arial"/>
          </w:rPr>
          <w:t>NEWS</w:t>
        </w:r>
      </w:hyperlink>
      <w:r>
        <w:rPr>
          <w:rFonts w:ascii="Arial" w:hAnsi="Arial" w:cs="Arial"/>
        </w:rPr>
        <w:t xml:space="preserve"> is a well-validated track-and-trigger early warning score system that is used to identify and respond to patients at risk of deteriorating</w:t>
      </w:r>
      <w:bookmarkStart w:id="15" w:name="move1194050361"/>
      <w:bookmarkEnd w:id="15"/>
      <w:r>
        <w:rPr>
          <w:rFonts w:ascii="Arial" w:hAnsi="Arial" w:cs="Arial"/>
        </w:rPr>
        <w:t>.</w:t>
      </w:r>
    </w:p>
    <w:p w14:paraId="4AD1C0D3" w14:textId="77777777" w:rsidR="00B52E44" w:rsidRDefault="00B52E44">
      <w:pPr>
        <w:rPr>
          <w:rFonts w:ascii="Arial" w:hAnsi="Arial" w:cs="Arial"/>
        </w:rPr>
      </w:pPr>
    </w:p>
    <w:p w14:paraId="6BDF3498" w14:textId="77777777" w:rsidR="00B52E44" w:rsidRDefault="00000000">
      <w:r>
        <w:rPr>
          <w:rFonts w:ascii="Arial" w:hAnsi="Arial" w:cs="Arial"/>
        </w:rPr>
        <w:t xml:space="preserve">An NHS video is available to explain </w:t>
      </w:r>
      <w:hyperlink r:id="rId23" w:anchor="guidance-on-the-use-of-news-in-community-acute-ambulance-and-acute-mental-health-settings" w:history="1">
        <w:r>
          <w:rPr>
            <w:rStyle w:val="Hyperlink"/>
            <w:rFonts w:ascii="Arial" w:hAnsi="Arial" w:cs="Arial"/>
          </w:rPr>
          <w:t>NEWS2</w:t>
        </w:r>
      </w:hyperlink>
      <w:r>
        <w:rPr>
          <w:rFonts w:ascii="Arial" w:hAnsi="Arial" w:cs="Arial"/>
        </w:rPr>
        <w:t xml:space="preserve">. </w:t>
      </w:r>
    </w:p>
    <w:p w14:paraId="6CF1922B" w14:textId="77777777" w:rsidR="00B52E44" w:rsidRDefault="00B52E44">
      <w:pPr>
        <w:rPr>
          <w:rFonts w:ascii="Arial" w:hAnsi="Arial" w:cs="Arial"/>
        </w:rPr>
      </w:pPr>
    </w:p>
    <w:p w14:paraId="0A816BA4" w14:textId="77777777" w:rsidR="00B52E44" w:rsidRDefault="00000000">
      <w:pPr>
        <w:rPr>
          <w:rFonts w:ascii="Arial" w:hAnsi="Arial" w:cs="Arial"/>
        </w:rPr>
      </w:pPr>
      <w:r>
        <w:rPr>
          <w:rFonts w:ascii="Arial" w:hAnsi="Arial" w:cs="Arial"/>
        </w:rPr>
        <w:t>It is based on a simple scoring system in which a score is allocated to physiological measurements already taken when patients present to, or are being monitored in, healthcare settings.</w:t>
      </w:r>
    </w:p>
    <w:p w14:paraId="220B3B56" w14:textId="77777777" w:rsidR="00B52E44" w:rsidRDefault="00B52E44">
      <w:pPr>
        <w:rPr>
          <w:rFonts w:ascii="Arial" w:hAnsi="Arial" w:cs="Arial"/>
        </w:rPr>
      </w:pPr>
    </w:p>
    <w:p w14:paraId="23F01408" w14:textId="77777777" w:rsidR="00B52E44" w:rsidRDefault="00000000">
      <w:pPr>
        <w:rPr>
          <w:rFonts w:ascii="Arial" w:hAnsi="Arial" w:cs="Arial"/>
        </w:rPr>
      </w:pPr>
      <w:r>
        <w:rPr>
          <w:rFonts w:ascii="Arial" w:hAnsi="Arial" w:cs="Arial"/>
        </w:rPr>
        <w:t>Scores of 0 – 3 points are allocated to each of the following six physiological parameters:</w:t>
      </w:r>
    </w:p>
    <w:p w14:paraId="4C3D3CD0" w14:textId="77777777" w:rsidR="00B52E44" w:rsidRDefault="00B52E44">
      <w:pPr>
        <w:rPr>
          <w:rFonts w:ascii="Arial" w:hAnsi="Arial" w:cs="Arial"/>
        </w:rPr>
      </w:pPr>
    </w:p>
    <w:p w14:paraId="6452E375" w14:textId="77777777" w:rsidR="00B52E44" w:rsidRDefault="00000000">
      <w:pPr>
        <w:numPr>
          <w:ilvl w:val="0"/>
          <w:numId w:val="15"/>
        </w:numPr>
        <w:rPr>
          <w:rFonts w:ascii="Arial" w:hAnsi="Arial" w:cs="Arial"/>
        </w:rPr>
      </w:pPr>
      <w:r>
        <w:rPr>
          <w:rFonts w:ascii="Arial" w:hAnsi="Arial" w:cs="Arial"/>
        </w:rPr>
        <w:t>Respiratory</w:t>
      </w:r>
    </w:p>
    <w:p w14:paraId="5AECEEEC" w14:textId="77777777" w:rsidR="00B52E44" w:rsidRDefault="00000000">
      <w:pPr>
        <w:numPr>
          <w:ilvl w:val="0"/>
          <w:numId w:val="15"/>
        </w:numPr>
        <w:rPr>
          <w:rFonts w:ascii="Arial" w:hAnsi="Arial" w:cs="Arial"/>
        </w:rPr>
      </w:pPr>
      <w:r>
        <w:rPr>
          <w:rFonts w:ascii="Arial" w:hAnsi="Arial" w:cs="Arial"/>
        </w:rPr>
        <w:t>Oxygen saturation</w:t>
      </w:r>
    </w:p>
    <w:p w14:paraId="4E96B165" w14:textId="77777777" w:rsidR="00B52E44" w:rsidRDefault="00000000">
      <w:pPr>
        <w:numPr>
          <w:ilvl w:val="0"/>
          <w:numId w:val="15"/>
        </w:numPr>
        <w:rPr>
          <w:rFonts w:ascii="Arial" w:hAnsi="Arial" w:cs="Arial"/>
        </w:rPr>
      </w:pPr>
      <w:r>
        <w:rPr>
          <w:rFonts w:ascii="Arial" w:hAnsi="Arial" w:cs="Arial"/>
        </w:rPr>
        <w:t>Temperature</w:t>
      </w:r>
    </w:p>
    <w:p w14:paraId="06204B7B" w14:textId="77777777" w:rsidR="00B52E44" w:rsidRDefault="00000000">
      <w:pPr>
        <w:numPr>
          <w:ilvl w:val="0"/>
          <w:numId w:val="15"/>
        </w:numPr>
        <w:rPr>
          <w:rFonts w:ascii="Arial" w:hAnsi="Arial" w:cs="Arial"/>
        </w:rPr>
      </w:pPr>
      <w:r>
        <w:rPr>
          <w:rFonts w:ascii="Arial" w:hAnsi="Arial" w:cs="Arial"/>
        </w:rPr>
        <w:t>Systolic blood pressure</w:t>
      </w:r>
    </w:p>
    <w:p w14:paraId="1FFC74B8" w14:textId="77777777" w:rsidR="00B52E44" w:rsidRDefault="00000000">
      <w:pPr>
        <w:numPr>
          <w:ilvl w:val="0"/>
          <w:numId w:val="15"/>
        </w:numPr>
        <w:rPr>
          <w:rFonts w:ascii="Arial" w:hAnsi="Arial" w:cs="Arial"/>
        </w:rPr>
      </w:pPr>
      <w:r>
        <w:rPr>
          <w:rFonts w:ascii="Arial" w:hAnsi="Arial" w:cs="Arial"/>
        </w:rPr>
        <w:t>Pulse rate</w:t>
      </w:r>
    </w:p>
    <w:p w14:paraId="331671D0" w14:textId="77777777" w:rsidR="00B52E44" w:rsidRDefault="00000000">
      <w:pPr>
        <w:numPr>
          <w:ilvl w:val="0"/>
          <w:numId w:val="15"/>
        </w:numPr>
        <w:rPr>
          <w:rFonts w:ascii="Arial" w:hAnsi="Arial" w:cs="Arial"/>
        </w:rPr>
      </w:pPr>
      <w:r>
        <w:rPr>
          <w:rFonts w:ascii="Arial" w:hAnsi="Arial" w:cs="Arial"/>
        </w:rPr>
        <w:t>Level of consciousness</w:t>
      </w:r>
    </w:p>
    <w:p w14:paraId="7F191086" w14:textId="77777777" w:rsidR="00B52E44" w:rsidRDefault="00B52E44">
      <w:pPr>
        <w:rPr>
          <w:rFonts w:ascii="Arial" w:hAnsi="Arial" w:cs="Arial"/>
        </w:rPr>
      </w:pPr>
    </w:p>
    <w:p w14:paraId="7F9BEE52" w14:textId="77777777" w:rsidR="00B52E44" w:rsidRDefault="00000000">
      <w:pPr>
        <w:rPr>
          <w:rFonts w:ascii="Arial" w:hAnsi="Arial" w:cs="Arial"/>
        </w:rPr>
      </w:pPr>
      <w:r>
        <w:rPr>
          <w:rFonts w:ascii="Arial" w:hAnsi="Arial" w:cs="Arial"/>
        </w:rPr>
        <w:lastRenderedPageBreak/>
        <w:t xml:space="preserve">The Royal College of Physicians recommends that sepsis should be considered for any patient with a NEWS score of 5 or more. </w:t>
      </w:r>
    </w:p>
    <w:p w14:paraId="1C12B38E" w14:textId="77777777" w:rsidR="00B52E44" w:rsidRDefault="00B52E44">
      <w:pPr>
        <w:rPr>
          <w:rFonts w:ascii="Arial" w:hAnsi="Arial" w:cs="Arial"/>
        </w:rPr>
      </w:pPr>
    </w:p>
    <w:p w14:paraId="147F1A7E" w14:textId="77777777" w:rsidR="00B52E44" w:rsidRDefault="00000000">
      <w:r>
        <w:rPr>
          <w:rFonts w:ascii="Arial" w:hAnsi="Arial" w:cs="Arial"/>
        </w:rPr>
        <w:t xml:space="preserve">A resource pack produced by the Royal College of Physicians to enable the safe adoption of NEWS2 is available from </w:t>
      </w:r>
      <w:hyperlink r:id="rId24">
        <w:r>
          <w:rPr>
            <w:rStyle w:val="Hyperlink"/>
            <w:rFonts w:ascii="Arial" w:hAnsi="Arial" w:cs="Arial"/>
          </w:rPr>
          <w:t>NHS England</w:t>
        </w:r>
      </w:hyperlink>
      <w:r>
        <w:rPr>
          <w:rFonts w:ascii="Arial" w:hAnsi="Arial" w:cs="Arial"/>
        </w:rPr>
        <w:t>.</w:t>
      </w:r>
    </w:p>
    <w:p w14:paraId="6B280752" w14:textId="77777777" w:rsidR="00B52E44" w:rsidRDefault="00000000">
      <w:pPr>
        <w:pStyle w:val="Heading2"/>
        <w:rPr>
          <w:rFonts w:ascii="Arial" w:hAnsi="Arial" w:cs="Arial"/>
          <w:smallCaps w:val="0"/>
          <w:sz w:val="24"/>
          <w:szCs w:val="24"/>
          <w:lang w:val="en-GB"/>
        </w:rPr>
      </w:pPr>
      <w:bookmarkStart w:id="16" w:name="_Toc119930240"/>
      <w:r>
        <w:rPr>
          <w:rFonts w:ascii="Arial" w:hAnsi="Arial" w:cs="Arial"/>
          <w:smallCaps w:val="0"/>
          <w:sz w:val="24"/>
          <w:szCs w:val="24"/>
          <w:lang w:val="en-GB"/>
        </w:rPr>
        <w:t>Non-clinical staff responsibilities</w:t>
      </w:r>
      <w:bookmarkEnd w:id="16"/>
    </w:p>
    <w:p w14:paraId="79ADD3CA" w14:textId="77777777" w:rsidR="00B52E44" w:rsidRDefault="00B52E44"/>
    <w:p w14:paraId="1CA2E818" w14:textId="77777777" w:rsidR="00B52E44" w:rsidRDefault="00000000">
      <w:r>
        <w:rPr>
          <w:rFonts w:ascii="Arial" w:hAnsi="Arial" w:cs="Arial"/>
        </w:rPr>
        <w:t>Non-clinical staff are to be trained to recognise patients who may present with medical emergencies and identify patients who show signs of:</w:t>
      </w:r>
    </w:p>
    <w:p w14:paraId="30AE9000" w14:textId="77777777" w:rsidR="00B52E44" w:rsidRDefault="00B52E44">
      <w:pPr>
        <w:rPr>
          <w:rFonts w:ascii="Arial" w:hAnsi="Arial" w:cs="Arial"/>
        </w:rPr>
      </w:pPr>
    </w:p>
    <w:p w14:paraId="33D71B14" w14:textId="77777777" w:rsidR="00B52E44" w:rsidRDefault="00000000">
      <w:pPr>
        <w:pStyle w:val="ListParagraph"/>
        <w:numPr>
          <w:ilvl w:val="0"/>
          <w:numId w:val="5"/>
        </w:numPr>
        <w:rPr>
          <w:rFonts w:ascii="Arial" w:hAnsi="Arial" w:cs="Arial"/>
        </w:rPr>
      </w:pPr>
      <w:r>
        <w:rPr>
          <w:rFonts w:ascii="Arial" w:hAnsi="Arial" w:cs="Arial"/>
        </w:rPr>
        <w:t>Shortness of breath</w:t>
      </w:r>
    </w:p>
    <w:p w14:paraId="5E36A841" w14:textId="77777777" w:rsidR="00B52E44" w:rsidRDefault="00000000">
      <w:pPr>
        <w:pStyle w:val="ListParagraph"/>
        <w:numPr>
          <w:ilvl w:val="0"/>
          <w:numId w:val="5"/>
        </w:numPr>
        <w:rPr>
          <w:rFonts w:ascii="Arial" w:hAnsi="Arial" w:cs="Arial"/>
        </w:rPr>
      </w:pPr>
      <w:r>
        <w:rPr>
          <w:rFonts w:ascii="Arial" w:hAnsi="Arial" w:cs="Arial"/>
        </w:rPr>
        <w:t>Wheezing</w:t>
      </w:r>
    </w:p>
    <w:p w14:paraId="71E1A538" w14:textId="77777777" w:rsidR="00B52E44" w:rsidRDefault="00000000">
      <w:pPr>
        <w:pStyle w:val="ListParagraph"/>
        <w:numPr>
          <w:ilvl w:val="0"/>
          <w:numId w:val="5"/>
        </w:numPr>
        <w:rPr>
          <w:rFonts w:ascii="Arial" w:hAnsi="Arial" w:cs="Arial"/>
        </w:rPr>
      </w:pPr>
      <w:r>
        <w:rPr>
          <w:rFonts w:ascii="Arial" w:hAnsi="Arial" w:cs="Arial"/>
        </w:rPr>
        <w:t>Dizziness</w:t>
      </w:r>
    </w:p>
    <w:p w14:paraId="788C4CDA" w14:textId="77777777" w:rsidR="00B52E44" w:rsidRDefault="00000000">
      <w:pPr>
        <w:pStyle w:val="ListParagraph"/>
        <w:numPr>
          <w:ilvl w:val="0"/>
          <w:numId w:val="5"/>
        </w:numPr>
        <w:rPr>
          <w:rFonts w:ascii="Arial" w:hAnsi="Arial" w:cs="Arial"/>
        </w:rPr>
      </w:pPr>
      <w:r>
        <w:rPr>
          <w:rFonts w:ascii="Arial" w:hAnsi="Arial" w:cs="Arial"/>
        </w:rPr>
        <w:t>Obvious signs of distress/pain</w:t>
      </w:r>
    </w:p>
    <w:p w14:paraId="396D3C9C" w14:textId="77777777" w:rsidR="00B52E44" w:rsidRDefault="00000000">
      <w:pPr>
        <w:pStyle w:val="ListParagraph"/>
        <w:numPr>
          <w:ilvl w:val="0"/>
          <w:numId w:val="5"/>
        </w:numPr>
        <w:rPr>
          <w:rFonts w:ascii="Arial" w:hAnsi="Arial" w:cs="Arial"/>
        </w:rPr>
      </w:pPr>
      <w:r>
        <w:rPr>
          <w:rFonts w:ascii="Arial" w:hAnsi="Arial" w:cs="Arial"/>
        </w:rPr>
        <w:t>Sweating profusely and/or paleness</w:t>
      </w:r>
    </w:p>
    <w:p w14:paraId="2EBAF86D" w14:textId="77777777" w:rsidR="00B52E44" w:rsidRDefault="00000000">
      <w:pPr>
        <w:pStyle w:val="ListParagraph"/>
        <w:numPr>
          <w:ilvl w:val="0"/>
          <w:numId w:val="5"/>
        </w:numPr>
        <w:rPr>
          <w:rFonts w:ascii="Arial" w:hAnsi="Arial" w:cs="Arial"/>
        </w:rPr>
      </w:pPr>
      <w:r>
        <w:rPr>
          <w:rFonts w:ascii="Arial" w:hAnsi="Arial" w:cs="Arial"/>
        </w:rPr>
        <w:t>Appearing confused or disorientated</w:t>
      </w:r>
    </w:p>
    <w:p w14:paraId="55D93993" w14:textId="77777777" w:rsidR="00B52E44" w:rsidRDefault="00B52E44">
      <w:pPr>
        <w:rPr>
          <w:rFonts w:ascii="Arial" w:hAnsi="Arial" w:cs="Arial"/>
        </w:rPr>
      </w:pPr>
    </w:p>
    <w:p w14:paraId="09829D4A" w14:textId="77777777" w:rsidR="00B52E44" w:rsidRDefault="00000000">
      <w:pPr>
        <w:rPr>
          <w:rFonts w:ascii="Arial" w:hAnsi="Arial" w:cs="Arial"/>
        </w:rPr>
      </w:pPr>
      <w:r>
        <w:rPr>
          <w:rFonts w:ascii="Arial" w:hAnsi="Arial" w:cs="Arial"/>
        </w:rPr>
        <w:t>It should be noted that this list is not exhaustive.</w:t>
      </w:r>
    </w:p>
    <w:p w14:paraId="72D8CE09" w14:textId="77777777" w:rsidR="00B52E44" w:rsidRDefault="00000000">
      <w:pPr>
        <w:rPr>
          <w:rFonts w:ascii="Arial" w:hAnsi="Arial" w:cs="Arial"/>
        </w:rPr>
      </w:pPr>
      <w:r>
        <w:rPr>
          <w:rFonts w:ascii="Arial" w:hAnsi="Arial" w:cs="Arial"/>
        </w:rPr>
        <w:t>In such instances, non-clinical staff should alert a clinical colleague to ensure that patients are afforded the most appropriate level of care in a distressing situation.</w:t>
      </w:r>
    </w:p>
    <w:p w14:paraId="02652B48" w14:textId="77777777" w:rsidR="00B52E44" w:rsidRDefault="00000000">
      <w:pPr>
        <w:pStyle w:val="Heading2"/>
        <w:rPr>
          <w:rFonts w:ascii="Arial" w:hAnsi="Arial" w:cs="Arial"/>
          <w:smallCaps w:val="0"/>
          <w:sz w:val="24"/>
          <w:szCs w:val="24"/>
          <w:lang w:val="en-GB"/>
        </w:rPr>
      </w:pPr>
      <w:bookmarkStart w:id="17" w:name="_Toc119930241"/>
      <w:r>
        <w:rPr>
          <w:rFonts w:ascii="Arial" w:hAnsi="Arial" w:cs="Arial"/>
          <w:smallCaps w:val="0"/>
          <w:sz w:val="24"/>
          <w:szCs w:val="24"/>
          <w:lang w:val="en-GB"/>
        </w:rPr>
        <w:t>External emergencies</w:t>
      </w:r>
      <w:bookmarkEnd w:id="17"/>
    </w:p>
    <w:p w14:paraId="7E3A0DF1" w14:textId="77777777" w:rsidR="00B52E44" w:rsidRDefault="00B52E44"/>
    <w:p w14:paraId="1435DDE0" w14:textId="77777777" w:rsidR="00B52E44" w:rsidRDefault="00000000">
      <w:r>
        <w:rPr>
          <w:rFonts w:ascii="Arial" w:hAnsi="Arial" w:cs="Arial"/>
        </w:rPr>
        <w:t xml:space="preserve">If an incident arises in close proximity to the practice, clinical staff should provide the appropriate assistance until specialist help arrives (Ambulance Service). For nurses, the Nursing and Midwifery Council </w:t>
      </w:r>
      <w:hyperlink r:id="rId25">
        <w:r>
          <w:rPr>
            <w:rStyle w:val="Hyperlink"/>
            <w:rFonts w:ascii="Arial" w:hAnsi="Arial" w:cs="Arial"/>
          </w:rPr>
          <w:t>Code</w:t>
        </w:r>
      </w:hyperlink>
      <w:r>
        <w:rPr>
          <w:rFonts w:ascii="Arial" w:hAnsi="Arial" w:cs="Arial"/>
        </w:rPr>
        <w:t xml:space="preserve"> places a professional duty on a nurse to provide appropriate assistance within their sphere of knowledge and competence. </w:t>
      </w:r>
    </w:p>
    <w:p w14:paraId="718DA693" w14:textId="77777777" w:rsidR="00B52E44" w:rsidRDefault="00B52E44">
      <w:pPr>
        <w:rPr>
          <w:rFonts w:ascii="Arial" w:hAnsi="Arial" w:cs="Arial"/>
        </w:rPr>
      </w:pPr>
    </w:p>
    <w:p w14:paraId="623C4B30" w14:textId="77777777" w:rsidR="00B52E44" w:rsidRDefault="00000000">
      <w:r>
        <w:rPr>
          <w:rFonts w:ascii="Arial" w:hAnsi="Arial" w:cs="Arial"/>
        </w:rPr>
        <w:t xml:space="preserve">The </w:t>
      </w:r>
      <w:hyperlink r:id="rId26">
        <w:r>
          <w:rPr>
            <w:rStyle w:val="Hyperlink"/>
            <w:rFonts w:ascii="Arial" w:hAnsi="Arial" w:cs="Arial"/>
          </w:rPr>
          <w:t>RCN Duty of care</w:t>
        </w:r>
      </w:hyperlink>
      <w:r>
        <w:rPr>
          <w:rFonts w:ascii="Arial" w:hAnsi="Arial" w:cs="Arial"/>
        </w:rPr>
        <w:t xml:space="preserve"> makes clear that there is </w:t>
      </w:r>
      <w:r>
        <w:rPr>
          <w:rFonts w:ascii="Arial" w:hAnsi="Arial" w:cs="Arial"/>
          <w:bCs/>
          <w:u w:val="single"/>
        </w:rPr>
        <w:t>no legal duty</w:t>
      </w:r>
      <w:r>
        <w:rPr>
          <w:rFonts w:ascii="Arial" w:hAnsi="Arial" w:cs="Arial"/>
        </w:rPr>
        <w:t xml:space="preserve"> to volunteer to help in an emergency situation. However, there is a professional duty that can be read in the above RCN link.</w:t>
      </w:r>
    </w:p>
    <w:p w14:paraId="3E1D5EF5" w14:textId="77777777" w:rsidR="00B52E44" w:rsidRDefault="00B52E44">
      <w:pPr>
        <w:rPr>
          <w:rFonts w:ascii="Arial" w:hAnsi="Arial" w:cs="Arial"/>
        </w:rPr>
      </w:pPr>
    </w:p>
    <w:p w14:paraId="07D0B3C6" w14:textId="77777777" w:rsidR="00B52E44" w:rsidRDefault="00000000">
      <w:r>
        <w:rPr>
          <w:rFonts w:ascii="Arial" w:hAnsi="Arial" w:cs="Arial"/>
        </w:rPr>
        <w:t xml:space="preserve">Similarly, GPs have an ethical duty to provide what assistance they can if an emergency arises. </w:t>
      </w:r>
      <w:hyperlink r:id="rId27">
        <w:r>
          <w:rPr>
            <w:rStyle w:val="Hyperlink"/>
            <w:rFonts w:ascii="Arial" w:hAnsi="Arial" w:cs="Arial"/>
          </w:rPr>
          <w:t>GMC guideline 26</w:t>
        </w:r>
      </w:hyperlink>
      <w:r>
        <w:rPr>
          <w:rFonts w:ascii="Arial" w:hAnsi="Arial" w:cs="Arial"/>
        </w:rPr>
        <w:t xml:space="preserve"> states:</w:t>
      </w:r>
    </w:p>
    <w:p w14:paraId="6C8D7371" w14:textId="77777777" w:rsidR="00B52E44" w:rsidRDefault="00B52E44">
      <w:pPr>
        <w:rPr>
          <w:rFonts w:ascii="Arial" w:hAnsi="Arial" w:cs="Arial"/>
        </w:rPr>
      </w:pPr>
    </w:p>
    <w:p w14:paraId="09929EF4" w14:textId="77777777" w:rsidR="00B52E44" w:rsidRDefault="00000000">
      <w:pPr>
        <w:pStyle w:val="ListParagraph"/>
        <w:numPr>
          <w:ilvl w:val="0"/>
          <w:numId w:val="7"/>
        </w:numPr>
      </w:pPr>
      <w:r>
        <w:rPr>
          <w:rFonts w:ascii="Arial" w:hAnsi="Arial" w:cs="Arial"/>
          <w:i/>
          <w:iCs/>
        </w:rPr>
        <w:t xml:space="preserve">You must offer help if emergencies arise in clinical settings or in the community, taking account of your own safety, your competence, and the availability of other options for care. </w:t>
      </w:r>
    </w:p>
    <w:p w14:paraId="58E8B581" w14:textId="77777777" w:rsidR="00B52E44" w:rsidRDefault="00B52E44">
      <w:pPr>
        <w:rPr>
          <w:rFonts w:ascii="Arial" w:hAnsi="Arial" w:cs="Arial"/>
        </w:rPr>
      </w:pPr>
    </w:p>
    <w:p w14:paraId="7287FEE9" w14:textId="77777777" w:rsidR="00B52E44" w:rsidRDefault="00000000">
      <w:pPr>
        <w:rPr>
          <w:rFonts w:ascii="Arial" w:hAnsi="Arial" w:cs="Arial"/>
        </w:rPr>
      </w:pPr>
      <w:r>
        <w:rPr>
          <w:rFonts w:ascii="Arial" w:hAnsi="Arial" w:cs="Arial"/>
        </w:rPr>
        <w:t xml:space="preserve">On occasion, members of the public may ask the organisation to provide a defibrillator whilst they await the Ambulance Service. In such instances, it would be appropriate for a clinician and a non-clinical member of staff to attend the incident with the emergency equipment (defibrillator) to provide support within the scope of their clinical competence until specialist help arrives. </w:t>
      </w:r>
    </w:p>
    <w:p w14:paraId="664B23CF" w14:textId="77777777" w:rsidR="00B52E44" w:rsidRDefault="00B52E44">
      <w:pPr>
        <w:rPr>
          <w:rFonts w:ascii="Arial" w:hAnsi="Arial" w:cs="Arial"/>
        </w:rPr>
      </w:pPr>
    </w:p>
    <w:p w14:paraId="6BA99D14" w14:textId="77777777" w:rsidR="00B52E44" w:rsidRDefault="00000000">
      <w:pPr>
        <w:rPr>
          <w:rFonts w:ascii="Arial" w:hAnsi="Arial" w:cs="Arial"/>
        </w:rPr>
      </w:pPr>
      <w:r>
        <w:rPr>
          <w:rFonts w:ascii="Arial" w:hAnsi="Arial" w:cs="Arial"/>
        </w:rPr>
        <w:t>Clinicians should ensure that they record their involvement at the incident accurately, as this information may be required at a later date by the patient’s GP, hospital staff or possibly legal representatives.</w:t>
      </w:r>
    </w:p>
    <w:p w14:paraId="64FC0325" w14:textId="77777777" w:rsidR="00B52E44" w:rsidRDefault="00B52E44">
      <w:pPr>
        <w:rPr>
          <w:rFonts w:ascii="Arial" w:hAnsi="Arial" w:cs="Arial"/>
        </w:rPr>
      </w:pPr>
    </w:p>
    <w:p w14:paraId="33119E73" w14:textId="77777777" w:rsidR="00B52E44" w:rsidRDefault="00000000">
      <w:pPr>
        <w:rPr>
          <w:rFonts w:ascii="Arial" w:hAnsi="Arial" w:cs="Arial"/>
        </w:rPr>
      </w:pPr>
      <w:r>
        <w:rPr>
          <w:rFonts w:ascii="Arial" w:hAnsi="Arial" w:cs="Arial"/>
        </w:rPr>
        <w:lastRenderedPageBreak/>
        <w:t xml:space="preserve">Staff must ensure that any emergency equipment is returned to the organisation as soon as it is no longer needed at the scene of the emergency. This will ensure that the equipment can be prepared for future use immediately. </w:t>
      </w:r>
    </w:p>
    <w:p w14:paraId="45F86CDB" w14:textId="77777777" w:rsidR="00B52E44" w:rsidRDefault="00000000">
      <w:pPr>
        <w:pStyle w:val="Heading2"/>
        <w:rPr>
          <w:rFonts w:ascii="Arial" w:hAnsi="Arial" w:cs="Arial"/>
          <w:smallCaps w:val="0"/>
          <w:sz w:val="24"/>
          <w:szCs w:val="24"/>
          <w:lang w:val="en-GB"/>
        </w:rPr>
      </w:pPr>
      <w:bookmarkStart w:id="18" w:name="_Toc119930242"/>
      <w:r>
        <w:rPr>
          <w:rFonts w:ascii="Arial" w:hAnsi="Arial" w:cs="Arial"/>
          <w:smallCaps w:val="0"/>
          <w:sz w:val="24"/>
          <w:szCs w:val="24"/>
          <w:lang w:val="en-GB"/>
        </w:rPr>
        <w:t>Conducting CPR during the COVID-19 pandemic</w:t>
      </w:r>
      <w:bookmarkEnd w:id="18"/>
    </w:p>
    <w:p w14:paraId="6674E78C" w14:textId="77777777" w:rsidR="00B52E44" w:rsidRDefault="00B52E44">
      <w:pPr>
        <w:rPr>
          <w:rFonts w:ascii="Arial" w:hAnsi="Arial" w:cs="Arial"/>
        </w:rPr>
      </w:pPr>
    </w:p>
    <w:p w14:paraId="2DE3C578" w14:textId="77777777" w:rsidR="00B52E44" w:rsidRDefault="00000000">
      <w:pPr>
        <w:rPr>
          <w:rFonts w:ascii="Arial" w:hAnsi="Arial" w:cs="Arial"/>
        </w:rPr>
      </w:pPr>
      <w:r>
        <w:rPr>
          <w:rFonts w:ascii="Arial" w:hAnsi="Arial" w:cs="Arial"/>
        </w:rPr>
        <w:t xml:space="preserve">COVID-19 is spread in a way similar to seasonal influenza, person-to-person through close contact and droplets. </w:t>
      </w:r>
    </w:p>
    <w:p w14:paraId="161B5DBE" w14:textId="77777777" w:rsidR="00B52E44" w:rsidRDefault="00B52E44">
      <w:pPr>
        <w:rPr>
          <w:rFonts w:ascii="Arial" w:hAnsi="Arial" w:cs="Arial"/>
        </w:rPr>
      </w:pPr>
    </w:p>
    <w:p w14:paraId="32E81100" w14:textId="77777777" w:rsidR="00B52E44" w:rsidRDefault="00000000">
      <w:pPr>
        <w:rPr>
          <w:rFonts w:ascii="Arial" w:hAnsi="Arial" w:cs="Arial"/>
        </w:rPr>
      </w:pPr>
      <w:r>
        <w:rPr>
          <w:rFonts w:ascii="Arial" w:hAnsi="Arial" w:cs="Arial"/>
        </w:rPr>
        <w:t>Therefore, standard principles of infection control and droplet precautions are the main control strategies and should be followed rigorously. As aerosol transmission can occur, attention to hand hygiene and containment of respiratory secretions produced by coughing and sneezing are the cornerstones of effective infection control.</w:t>
      </w:r>
    </w:p>
    <w:p w14:paraId="0BE0F1B6" w14:textId="77777777" w:rsidR="00B52E44" w:rsidRDefault="00B52E44">
      <w:pPr>
        <w:rPr>
          <w:rFonts w:ascii="Arial" w:hAnsi="Arial" w:cs="Arial"/>
        </w:rPr>
      </w:pPr>
    </w:p>
    <w:p w14:paraId="4FA59C3F" w14:textId="77777777" w:rsidR="00B52E44" w:rsidRDefault="00000000">
      <w:r>
        <w:rPr>
          <w:rFonts w:ascii="Arial" w:hAnsi="Arial" w:cs="Arial"/>
        </w:rPr>
        <w:t>Additional support and guidance relating to maintaining infection control principles during COVID-19 can be found at:</w:t>
      </w:r>
      <w:r>
        <w:rPr>
          <w:rFonts w:ascii="Arial" w:hAnsi="Arial" w:cs="Arial"/>
        </w:rPr>
        <w:br/>
      </w:r>
    </w:p>
    <w:p w14:paraId="1F680185" w14:textId="77777777" w:rsidR="00B52E44" w:rsidRDefault="00000000">
      <w:pPr>
        <w:pStyle w:val="ListParagraph"/>
        <w:numPr>
          <w:ilvl w:val="0"/>
          <w:numId w:val="13"/>
        </w:numPr>
      </w:pPr>
      <w:hyperlink r:id="rId28">
        <w:r>
          <w:rPr>
            <w:rStyle w:val="Hyperlink"/>
            <w:rFonts w:ascii="Arial" w:hAnsi="Arial" w:cs="Arial"/>
          </w:rPr>
          <w:t>Pandemic Management Policy</w:t>
        </w:r>
      </w:hyperlink>
    </w:p>
    <w:p w14:paraId="1A317A82" w14:textId="77777777" w:rsidR="00B52E44" w:rsidRDefault="00000000">
      <w:pPr>
        <w:pStyle w:val="ListParagraph"/>
        <w:numPr>
          <w:ilvl w:val="0"/>
          <w:numId w:val="13"/>
        </w:numPr>
      </w:pPr>
      <w:hyperlink r:id="rId29">
        <w:r>
          <w:rPr>
            <w:rStyle w:val="Hyperlink"/>
            <w:rFonts w:ascii="Arial" w:hAnsi="Arial" w:cs="Arial"/>
          </w:rPr>
          <w:t>Infection Prevention Control Policy</w:t>
        </w:r>
      </w:hyperlink>
    </w:p>
    <w:p w14:paraId="5E06E37D" w14:textId="77777777" w:rsidR="00B52E44" w:rsidRDefault="00000000">
      <w:pPr>
        <w:pStyle w:val="ListParagraph"/>
        <w:numPr>
          <w:ilvl w:val="0"/>
          <w:numId w:val="13"/>
        </w:numPr>
      </w:pPr>
      <w:hyperlink r:id="rId30">
        <w:r>
          <w:rPr>
            <w:rStyle w:val="Hyperlink"/>
            <w:rFonts w:ascii="Arial" w:hAnsi="Arial" w:cs="Arial"/>
          </w:rPr>
          <w:t>Cleaning Standards and Schedule Policy</w:t>
        </w:r>
      </w:hyperlink>
    </w:p>
    <w:p w14:paraId="495210BF" w14:textId="77777777" w:rsidR="00B52E44" w:rsidRDefault="00B52E44">
      <w:pPr>
        <w:rPr>
          <w:rFonts w:ascii="Arial" w:hAnsi="Arial" w:cs="Arial"/>
        </w:rPr>
      </w:pPr>
    </w:p>
    <w:p w14:paraId="368C3C91" w14:textId="77777777" w:rsidR="00B52E44" w:rsidRDefault="00000000">
      <w:pPr>
        <w:pStyle w:val="Heading2"/>
        <w:rPr>
          <w:rFonts w:ascii="Arial" w:hAnsi="Arial" w:cs="Arial"/>
          <w:smallCaps w:val="0"/>
          <w:sz w:val="24"/>
          <w:szCs w:val="24"/>
          <w:lang w:val="en-GB"/>
        </w:rPr>
      </w:pPr>
      <w:bookmarkStart w:id="19" w:name="_DNACPR_and_TEP"/>
      <w:bookmarkStart w:id="20" w:name="_Toc119930243"/>
      <w:bookmarkEnd w:id="19"/>
      <w:r>
        <w:rPr>
          <w:rFonts w:ascii="Arial" w:hAnsi="Arial" w:cs="Arial"/>
          <w:smallCaps w:val="0"/>
          <w:sz w:val="24"/>
          <w:szCs w:val="24"/>
          <w:lang w:val="en-GB"/>
        </w:rPr>
        <w:t>DNACPR</w:t>
      </w:r>
      <w:bookmarkEnd w:id="20"/>
    </w:p>
    <w:p w14:paraId="3CFC4517" w14:textId="77777777" w:rsidR="00B52E44" w:rsidRDefault="00B52E44"/>
    <w:p w14:paraId="34F368F6" w14:textId="77777777" w:rsidR="00B52E44" w:rsidRDefault="00000000">
      <w:pPr>
        <w:rPr>
          <w:rFonts w:ascii="Arial" w:hAnsi="Arial" w:cs="Arial"/>
        </w:rPr>
      </w:pPr>
      <w:r>
        <w:rPr>
          <w:rFonts w:ascii="Arial" w:hAnsi="Arial" w:cs="Arial"/>
        </w:rPr>
        <w:t>Do not attempt cardio-pulmonary resuscitation, or DNACPR, is a pre-arranged agreement between the patient, family and friends, and clinical staff, should the patient have capacity. If the patient does not have capacity, then it will be agreed between all other parties if there is no previously agreed TEP in place.</w:t>
      </w:r>
    </w:p>
    <w:p w14:paraId="790E6487" w14:textId="77777777" w:rsidR="00B52E44" w:rsidRDefault="00B52E44">
      <w:pPr>
        <w:rPr>
          <w:rFonts w:ascii="Arial" w:hAnsi="Arial" w:cs="Arial"/>
        </w:rPr>
      </w:pPr>
    </w:p>
    <w:p w14:paraId="383393F7" w14:textId="77777777" w:rsidR="00B52E44" w:rsidRDefault="00000000">
      <w:r>
        <w:rPr>
          <w:rFonts w:ascii="Arial" w:hAnsi="Arial" w:cs="Arial"/>
        </w:rPr>
        <w:t xml:space="preserve"> Conversations about “do not attempt cardiopulmonary resuscitation” (DNACPR) should not happen in isolation and should involve a multi-disciplinary process. As such, DNACPR decisions must take place as part of broader conversations about the treatment and future care of patients. </w:t>
      </w:r>
    </w:p>
    <w:p w14:paraId="2DC04D90" w14:textId="77777777" w:rsidR="00B52E44" w:rsidRDefault="00B52E44">
      <w:pPr>
        <w:rPr>
          <w:rFonts w:ascii="Arial" w:hAnsi="Arial" w:cs="Arial"/>
        </w:rPr>
      </w:pPr>
    </w:p>
    <w:p w14:paraId="456C5731" w14:textId="77777777" w:rsidR="00B52E44" w:rsidRDefault="00000000">
      <w:r>
        <w:rPr>
          <w:rFonts w:ascii="Arial" w:hAnsi="Arial" w:cs="Arial"/>
        </w:rPr>
        <w:t xml:space="preserve">Further information on DNACPR can be found in </w:t>
      </w:r>
      <w:hyperlink r:id="rId31">
        <w:r>
          <w:rPr>
            <w:rStyle w:val="Hyperlink"/>
            <w:rFonts w:ascii="Arial" w:hAnsi="Arial" w:cs="Arial"/>
          </w:rPr>
          <w:t xml:space="preserve">GP </w:t>
        </w:r>
        <w:proofErr w:type="spellStart"/>
        <w:r>
          <w:rPr>
            <w:rStyle w:val="Hyperlink"/>
            <w:rFonts w:ascii="Arial" w:hAnsi="Arial" w:cs="Arial"/>
          </w:rPr>
          <w:t>Mythbuster</w:t>
        </w:r>
        <w:proofErr w:type="spellEnd"/>
        <w:r>
          <w:rPr>
            <w:rStyle w:val="Hyperlink"/>
            <w:rFonts w:ascii="Arial" w:hAnsi="Arial" w:cs="Arial"/>
          </w:rPr>
          <w:t xml:space="preserve"> 105: DNACPR</w:t>
        </w:r>
      </w:hyperlink>
      <w:r>
        <w:rPr>
          <w:rFonts w:ascii="Arial" w:hAnsi="Arial" w:cs="Arial"/>
        </w:rPr>
        <w:t xml:space="preserve"> updated 3 Nov 22 and” </w:t>
      </w:r>
      <w:hyperlink r:id="rId32">
        <w:r>
          <w:rPr>
            <w:rStyle w:val="Hyperlink"/>
            <w:rFonts w:ascii="Arial" w:hAnsi="Arial" w:cs="Arial"/>
          </w:rPr>
          <w:t>Mental Capacity Act Policy</w:t>
        </w:r>
      </w:hyperlink>
      <w:r>
        <w:rPr>
          <w:rFonts w:ascii="Arial" w:hAnsi="Arial" w:cs="Arial"/>
        </w:rPr>
        <w:t xml:space="preserve">. Additionally, further information about DNACPR and COVID-19 can be found in </w:t>
      </w:r>
      <w:hyperlink w:anchor="_DNACPR_during_COVID-19">
        <w:r>
          <w:rPr>
            <w:rStyle w:val="Hyperlink"/>
            <w:rFonts w:ascii="Arial" w:hAnsi="Arial" w:cs="Arial"/>
          </w:rPr>
          <w:t>Section 2.12</w:t>
        </w:r>
      </w:hyperlink>
      <w:r>
        <w:rPr>
          <w:rFonts w:ascii="Arial" w:hAnsi="Arial" w:cs="Arial"/>
        </w:rPr>
        <w:t>.</w:t>
      </w:r>
    </w:p>
    <w:p w14:paraId="6859D062" w14:textId="77777777" w:rsidR="00B52E44" w:rsidRDefault="00000000">
      <w:pPr>
        <w:pStyle w:val="Heading2"/>
        <w:rPr>
          <w:rFonts w:ascii="Arial" w:hAnsi="Arial" w:cs="Arial"/>
          <w:smallCaps w:val="0"/>
          <w:sz w:val="24"/>
          <w:szCs w:val="24"/>
          <w:lang w:val="en-GB"/>
        </w:rPr>
      </w:pPr>
      <w:bookmarkStart w:id="21" w:name="_Toc119930244"/>
      <w:r>
        <w:rPr>
          <w:rFonts w:ascii="Arial" w:hAnsi="Arial" w:cs="Arial"/>
          <w:smallCaps w:val="0"/>
          <w:sz w:val="24"/>
          <w:szCs w:val="24"/>
          <w:lang w:val="en-GB"/>
        </w:rPr>
        <w:t>Treatment escalation plan</w:t>
      </w:r>
      <w:bookmarkEnd w:id="21"/>
    </w:p>
    <w:p w14:paraId="589C3AC8" w14:textId="77777777" w:rsidR="00B52E44" w:rsidRDefault="00B52E44">
      <w:pPr>
        <w:rPr>
          <w:rFonts w:ascii="Arial" w:hAnsi="Arial" w:cs="Arial"/>
        </w:rPr>
      </w:pPr>
    </w:p>
    <w:p w14:paraId="7C87FC2B" w14:textId="77777777" w:rsidR="00B52E44" w:rsidRDefault="00000000">
      <w:pPr>
        <w:rPr>
          <w:rFonts w:ascii="Arial" w:hAnsi="Arial" w:cs="Arial"/>
        </w:rPr>
      </w:pPr>
      <w:r>
        <w:rPr>
          <w:rFonts w:ascii="Arial" w:hAnsi="Arial" w:cs="Arial"/>
        </w:rPr>
        <w:t xml:space="preserve">A Treatment Escalation Plan or TEP should be considered for those patients whose condition is likely to deteriorate significantly. It is especially important for a TEP to be discussed for those patients whose mental capacity is likely to diminish. </w:t>
      </w:r>
      <w:bookmarkStart w:id="22" w:name="move1194055381"/>
      <w:bookmarkEnd w:id="22"/>
    </w:p>
    <w:p w14:paraId="07E204F2" w14:textId="77777777" w:rsidR="00B52E44" w:rsidRDefault="00B52E44">
      <w:pPr>
        <w:rPr>
          <w:rFonts w:ascii="Arial" w:hAnsi="Arial" w:cs="Arial"/>
        </w:rPr>
      </w:pPr>
    </w:p>
    <w:p w14:paraId="04E46D31" w14:textId="77777777" w:rsidR="00B52E44" w:rsidRDefault="00000000">
      <w:pPr>
        <w:rPr>
          <w:rFonts w:ascii="Arial" w:hAnsi="Arial" w:cs="Arial"/>
        </w:rPr>
      </w:pPr>
      <w:r>
        <w:rPr>
          <w:rFonts w:ascii="Arial" w:hAnsi="Arial" w:cs="Arial"/>
        </w:rPr>
        <w:t xml:space="preserve">The </w:t>
      </w:r>
      <w:hyperlink r:id="rId33">
        <w:r>
          <w:rPr>
            <w:rStyle w:val="Hyperlink"/>
            <w:rFonts w:ascii="Arial" w:hAnsi="Arial" w:cs="Arial"/>
          </w:rPr>
          <w:t>BMJ</w:t>
        </w:r>
      </w:hyperlink>
      <w:r>
        <w:rPr>
          <w:rFonts w:ascii="Arial" w:hAnsi="Arial" w:cs="Arial"/>
        </w:rPr>
        <w:t xml:space="preserve"> advises that systems should have a broad approach to advance care planning and suggest a TEP.</w:t>
      </w:r>
      <w:r>
        <w:rPr>
          <w:rFonts w:ascii="Arial" w:hAnsi="Arial" w:cs="Arial"/>
          <w:i/>
          <w:iCs/>
        </w:rPr>
        <w:t xml:space="preserve"> </w:t>
      </w:r>
    </w:p>
    <w:p w14:paraId="4A3DA9E5" w14:textId="77777777" w:rsidR="00B52E44" w:rsidRDefault="00B52E44">
      <w:pPr>
        <w:rPr>
          <w:rFonts w:ascii="Arial" w:hAnsi="Arial" w:cs="Arial"/>
        </w:rPr>
      </w:pPr>
    </w:p>
    <w:p w14:paraId="3AAB9FC4" w14:textId="77777777" w:rsidR="00B52E44" w:rsidRDefault="00000000">
      <w:pPr>
        <w:rPr>
          <w:rFonts w:ascii="Arial" w:hAnsi="Arial" w:cs="Arial"/>
        </w:rPr>
      </w:pPr>
      <w:r>
        <w:rPr>
          <w:rFonts w:ascii="Arial" w:hAnsi="Arial" w:cs="Arial"/>
        </w:rPr>
        <w:t>DNACPR should be part of the TEP, and any consultation regarding ongoing treatment, including the level of life sustaining therapeutic interventions or actions, must involve the patient and their family and friends in addition to any health and care professionals directly involved in their care.</w:t>
      </w:r>
    </w:p>
    <w:p w14:paraId="651CF96B" w14:textId="77777777" w:rsidR="00B52E44" w:rsidRDefault="00B52E44">
      <w:pPr>
        <w:rPr>
          <w:rFonts w:ascii="Arial" w:hAnsi="Arial" w:cs="Arial"/>
        </w:rPr>
      </w:pPr>
    </w:p>
    <w:p w14:paraId="23996832" w14:textId="77777777" w:rsidR="00B52E44" w:rsidRDefault="00000000">
      <w:pPr>
        <w:rPr>
          <w:rFonts w:ascii="Arial" w:hAnsi="Arial" w:cs="Arial"/>
        </w:rPr>
      </w:pPr>
      <w:r>
        <w:rPr>
          <w:rFonts w:ascii="Arial" w:hAnsi="Arial" w:cs="Arial"/>
        </w:rPr>
        <w:t xml:space="preserve">Importantly, the TEP must be an individual plan. It is intended to guide health and care staff so that the patient or family’s wishes are considered, and to reduce harm from over-treatment in people for whom death is inevitable and under-treatment in people who need symptomatic relief at the end of life. </w:t>
      </w:r>
    </w:p>
    <w:p w14:paraId="4F3F1656" w14:textId="77777777" w:rsidR="00B52E44" w:rsidRDefault="00B52E44">
      <w:pPr>
        <w:rPr>
          <w:rFonts w:ascii="Arial" w:hAnsi="Arial" w:cs="Arial"/>
        </w:rPr>
      </w:pPr>
    </w:p>
    <w:p w14:paraId="4248C8B8" w14:textId="77777777" w:rsidR="00B52E44" w:rsidRDefault="00000000">
      <w:pPr>
        <w:rPr>
          <w:rFonts w:ascii="Arial" w:hAnsi="Arial" w:cs="Arial"/>
        </w:rPr>
      </w:pPr>
      <w:r>
        <w:rPr>
          <w:rFonts w:ascii="Arial" w:hAnsi="Arial" w:cs="Arial"/>
        </w:rPr>
        <w:t>If needed, further reading on DNACPR can be found in the following UK variants:</w:t>
      </w:r>
    </w:p>
    <w:p w14:paraId="7D490EC3" w14:textId="77777777" w:rsidR="00B52E44" w:rsidRDefault="00B52E44">
      <w:pPr>
        <w:rPr>
          <w:rFonts w:ascii="Arial" w:hAnsi="Arial" w:cs="Arial"/>
        </w:rPr>
      </w:pPr>
    </w:p>
    <w:p w14:paraId="76C83976" w14:textId="77777777" w:rsidR="00B52E44" w:rsidRDefault="00000000">
      <w:pPr>
        <w:pStyle w:val="ListParagraph"/>
        <w:numPr>
          <w:ilvl w:val="0"/>
          <w:numId w:val="14"/>
        </w:numPr>
      </w:pPr>
      <w:hyperlink r:id="rId34">
        <w:r>
          <w:rPr>
            <w:rStyle w:val="Hyperlink"/>
            <w:rFonts w:ascii="Arial" w:hAnsi="Arial" w:cs="Arial"/>
          </w:rPr>
          <w:t>England</w:t>
        </w:r>
      </w:hyperlink>
    </w:p>
    <w:p w14:paraId="7A514FFC" w14:textId="77777777" w:rsidR="00B52E44" w:rsidRDefault="00000000">
      <w:pPr>
        <w:pStyle w:val="ListParagraph"/>
        <w:numPr>
          <w:ilvl w:val="0"/>
          <w:numId w:val="14"/>
        </w:numPr>
      </w:pPr>
      <w:hyperlink r:id="rId35">
        <w:r>
          <w:rPr>
            <w:rStyle w:val="Hyperlink"/>
            <w:rFonts w:ascii="Arial" w:hAnsi="Arial" w:cs="Arial"/>
          </w:rPr>
          <w:t>Scotland</w:t>
        </w:r>
      </w:hyperlink>
    </w:p>
    <w:p w14:paraId="1C767AF3" w14:textId="77777777" w:rsidR="00B52E44" w:rsidRDefault="00000000">
      <w:pPr>
        <w:pStyle w:val="ListParagraph"/>
        <w:numPr>
          <w:ilvl w:val="0"/>
          <w:numId w:val="14"/>
        </w:numPr>
      </w:pPr>
      <w:hyperlink r:id="rId36">
        <w:r>
          <w:rPr>
            <w:rStyle w:val="Hyperlink"/>
            <w:rFonts w:ascii="Arial" w:hAnsi="Arial" w:cs="Arial"/>
          </w:rPr>
          <w:t>Wales</w:t>
        </w:r>
      </w:hyperlink>
      <w:r>
        <w:rPr>
          <w:rFonts w:ascii="Arial" w:hAnsi="Arial" w:cs="Arial"/>
        </w:rPr>
        <w:t xml:space="preserve"> </w:t>
      </w:r>
      <w:bookmarkStart w:id="23" w:name="_Hlk95376477"/>
      <w:bookmarkEnd w:id="23"/>
    </w:p>
    <w:p w14:paraId="08576E42" w14:textId="77777777" w:rsidR="00B52E44" w:rsidRDefault="00B52E44">
      <w:pPr>
        <w:rPr>
          <w:rFonts w:ascii="Arial" w:hAnsi="Arial" w:cs="Arial"/>
        </w:rPr>
      </w:pPr>
    </w:p>
    <w:p w14:paraId="1D2D9360" w14:textId="77777777" w:rsidR="00B52E44" w:rsidRDefault="00000000">
      <w:r>
        <w:rPr>
          <w:rFonts w:ascii="Arial" w:hAnsi="Arial" w:cs="Arial"/>
        </w:rPr>
        <w:t xml:space="preserve">East Kent Hospitals University NHS Foundation Trust have created an </w:t>
      </w:r>
      <w:hyperlink r:id="rId37">
        <w:r>
          <w:rPr>
            <w:rStyle w:val="Hyperlink"/>
            <w:rFonts w:ascii="Arial" w:hAnsi="Arial" w:cs="Arial"/>
          </w:rPr>
          <w:t>example</w:t>
        </w:r>
      </w:hyperlink>
      <w:r>
        <w:rPr>
          <w:rFonts w:ascii="Arial" w:hAnsi="Arial" w:cs="Arial"/>
        </w:rPr>
        <w:t xml:space="preserve"> Treatment escalation plan. The following YouTube </w:t>
      </w:r>
      <w:hyperlink r:id="rId38">
        <w:r>
          <w:rPr>
            <w:rStyle w:val="Hyperlink"/>
            <w:rFonts w:ascii="Arial" w:hAnsi="Arial" w:cs="Arial"/>
          </w:rPr>
          <w:t>video</w:t>
        </w:r>
      </w:hyperlink>
      <w:r>
        <w:rPr>
          <w:rFonts w:ascii="Arial" w:hAnsi="Arial" w:cs="Arial"/>
        </w:rPr>
        <w:t xml:space="preserve"> further explains TEP.</w:t>
      </w:r>
    </w:p>
    <w:p w14:paraId="787B8298" w14:textId="77777777" w:rsidR="00B52E44" w:rsidRDefault="00000000">
      <w:pPr>
        <w:pStyle w:val="Heading2"/>
        <w:rPr>
          <w:rFonts w:ascii="Arial" w:hAnsi="Arial" w:cs="Arial"/>
          <w:smallCaps w:val="0"/>
          <w:sz w:val="24"/>
          <w:szCs w:val="24"/>
          <w:lang w:val="en-GB"/>
        </w:rPr>
      </w:pPr>
      <w:bookmarkStart w:id="24" w:name="_Toc119930245"/>
      <w:proofErr w:type="spellStart"/>
      <w:r>
        <w:rPr>
          <w:rFonts w:ascii="Arial" w:hAnsi="Arial" w:cs="Arial"/>
          <w:smallCaps w:val="0"/>
          <w:sz w:val="24"/>
          <w:szCs w:val="24"/>
          <w:lang w:val="en-GB"/>
        </w:rPr>
        <w:t>ReSPECT</w:t>
      </w:r>
      <w:bookmarkEnd w:id="24"/>
      <w:proofErr w:type="spellEnd"/>
    </w:p>
    <w:p w14:paraId="354DEE51" w14:textId="77777777" w:rsidR="00B52E44" w:rsidRDefault="00B52E44">
      <w:pPr>
        <w:rPr>
          <w:rFonts w:ascii="Arial" w:hAnsi="Arial" w:cs="Arial"/>
        </w:rPr>
      </w:pPr>
    </w:p>
    <w:p w14:paraId="09BC5EE3" w14:textId="77777777" w:rsidR="00B52E44" w:rsidRDefault="00000000">
      <w:pPr>
        <w:rPr>
          <w:rFonts w:ascii="Arial" w:hAnsi="Arial" w:cs="Arial"/>
        </w:rPr>
      </w:pPr>
      <w:r>
        <w:rPr>
          <w:rFonts w:ascii="Arial" w:hAnsi="Arial" w:cs="Arial"/>
        </w:rPr>
        <w:t>The Recommended Summary Plan for Emergency Care and Treatment (</w:t>
      </w:r>
      <w:proofErr w:type="spellStart"/>
      <w:r>
        <w:fldChar w:fldCharType="begin"/>
      </w:r>
      <w:r>
        <w:instrText>HYPERLINK "https://www.resus.org.uk/sites/default/files/2020-09/ReSPECT%20v3-1-formSPECIMENFINAL_0.pdf" \h</w:instrText>
      </w:r>
      <w:r>
        <w:fldChar w:fldCharType="separate"/>
      </w:r>
      <w:r>
        <w:rPr>
          <w:rStyle w:val="Hyperlink"/>
          <w:rFonts w:ascii="Arial" w:hAnsi="Arial" w:cs="Arial"/>
        </w:rPr>
        <w:t>ReSPECT</w:t>
      </w:r>
      <w:proofErr w:type="spellEnd"/>
      <w:r>
        <w:rPr>
          <w:rStyle w:val="Hyperlink"/>
          <w:rFonts w:ascii="Arial" w:hAnsi="Arial" w:cs="Arial"/>
        </w:rPr>
        <w:fldChar w:fldCharType="end"/>
      </w:r>
      <w:r>
        <w:rPr>
          <w:rFonts w:ascii="Arial" w:hAnsi="Arial" w:cs="Arial"/>
        </w:rPr>
        <w:t xml:space="preserve">) is a process which records recommendations to guide immediate decision-making about a person’s care and treatment, including whether CPR should or should not be attempted, in case of a future emergency in which they lack capacity. </w:t>
      </w:r>
    </w:p>
    <w:p w14:paraId="1A90EC8E" w14:textId="77777777" w:rsidR="00B52E44" w:rsidRDefault="00B52E44">
      <w:pPr>
        <w:rPr>
          <w:rFonts w:ascii="Arial" w:hAnsi="Arial" w:cs="Arial"/>
        </w:rPr>
      </w:pPr>
    </w:p>
    <w:p w14:paraId="44CFBF01" w14:textId="77777777" w:rsidR="00B52E44" w:rsidRDefault="00000000">
      <w:r>
        <w:rPr>
          <w:rFonts w:ascii="Arial" w:hAnsi="Arial" w:cs="Arial"/>
        </w:rPr>
        <w:t xml:space="preserve">The </w:t>
      </w:r>
      <w:proofErr w:type="spellStart"/>
      <w:r>
        <w:rPr>
          <w:rFonts w:ascii="Arial" w:hAnsi="Arial" w:cs="Arial"/>
        </w:rPr>
        <w:t>ReSPECT</w:t>
      </w:r>
      <w:proofErr w:type="spellEnd"/>
      <w:r>
        <w:rPr>
          <w:rFonts w:ascii="Arial" w:hAnsi="Arial" w:cs="Arial"/>
        </w:rPr>
        <w:t xml:space="preserve"> process is increasingly being adopted within health and care communities around the UK.</w:t>
      </w:r>
      <w:r>
        <w:t xml:space="preserve"> </w:t>
      </w:r>
      <w:r>
        <w:rPr>
          <w:rFonts w:ascii="Arial" w:hAnsi="Arial" w:cs="Arial"/>
        </w:rPr>
        <w:t xml:space="preserve">The process supports conversations about care in a future emergency and is now being used by most communities within England. </w:t>
      </w:r>
    </w:p>
    <w:p w14:paraId="70DF64C6" w14:textId="77777777" w:rsidR="00B52E44" w:rsidRDefault="00B52E44">
      <w:pPr>
        <w:rPr>
          <w:rFonts w:ascii="Arial" w:hAnsi="Arial" w:cs="Arial"/>
        </w:rPr>
      </w:pPr>
    </w:p>
    <w:p w14:paraId="4529F0D9" w14:textId="77777777" w:rsidR="00B52E44" w:rsidRDefault="00000000">
      <w:pPr>
        <w:rPr>
          <w:rFonts w:ascii="Arial" w:hAnsi="Arial" w:cs="Arial"/>
        </w:rPr>
      </w:pPr>
      <w:r>
        <w:rPr>
          <w:rFonts w:ascii="Arial" w:hAnsi="Arial" w:cs="Arial"/>
        </w:rPr>
        <w:t>The aim is to develop a shared understanding between the healthcare professional and the patient of the patient’s condition, the outcomes the patient values, their concerns, and how treatments and interventions, such as cardiopulmonary resuscitation (CPR), fit into this. It supports the important principle of personalised care.</w:t>
      </w:r>
    </w:p>
    <w:p w14:paraId="7509847A" w14:textId="77777777" w:rsidR="00B52E44" w:rsidRDefault="00B52E44">
      <w:pPr>
        <w:rPr>
          <w:rFonts w:ascii="Arial" w:hAnsi="Arial" w:cs="Arial"/>
        </w:rPr>
      </w:pPr>
    </w:p>
    <w:p w14:paraId="092C3FC0" w14:textId="77777777" w:rsidR="00B52E44" w:rsidRDefault="00000000">
      <w:r>
        <w:rPr>
          <w:rFonts w:ascii="Arial" w:hAnsi="Arial" w:cs="Arial"/>
        </w:rPr>
        <w:t xml:space="preserve">The latest version (v3) of the RCUK </w:t>
      </w:r>
      <w:proofErr w:type="spellStart"/>
      <w:r>
        <w:rPr>
          <w:rFonts w:ascii="Arial" w:hAnsi="Arial" w:cs="Arial"/>
        </w:rPr>
        <w:t>ReSPECT</w:t>
      </w:r>
      <w:proofErr w:type="spellEnd"/>
      <w:r>
        <w:rPr>
          <w:rFonts w:ascii="Arial" w:hAnsi="Arial" w:cs="Arial"/>
        </w:rPr>
        <w:t xml:space="preserve"> </w:t>
      </w:r>
      <w:hyperlink r:id="rId39">
        <w:r>
          <w:rPr>
            <w:rStyle w:val="Hyperlink"/>
            <w:rFonts w:ascii="Arial" w:hAnsi="Arial" w:cs="Arial"/>
          </w:rPr>
          <w:t>form</w:t>
        </w:r>
      </w:hyperlink>
      <w:r>
        <w:rPr>
          <w:rFonts w:ascii="Arial" w:hAnsi="Arial" w:cs="Arial"/>
        </w:rPr>
        <w:t xml:space="preserve"> was introduced in September 2020 and should be used to document conversations and recommendations made for care and treatment in an emergency. RCUK advises that this latest version is more patient-centred and contains more prompts for explicit clinical reasoning. </w:t>
      </w:r>
    </w:p>
    <w:p w14:paraId="01964CF2" w14:textId="77777777" w:rsidR="00B52E44" w:rsidRDefault="00B52E44">
      <w:pPr>
        <w:rPr>
          <w:rFonts w:ascii="Arial" w:hAnsi="Arial" w:cs="Arial"/>
        </w:rPr>
      </w:pPr>
    </w:p>
    <w:p w14:paraId="7E12891F" w14:textId="77777777" w:rsidR="00B52E44" w:rsidRDefault="00000000">
      <w:r>
        <w:rPr>
          <w:rFonts w:ascii="Arial" w:hAnsi="Arial" w:cs="Arial"/>
        </w:rPr>
        <w:t xml:space="preserve">The CQC considers the </w:t>
      </w:r>
      <w:proofErr w:type="spellStart"/>
      <w:r>
        <w:rPr>
          <w:rFonts w:ascii="Arial" w:hAnsi="Arial" w:cs="Arial"/>
        </w:rPr>
        <w:t>ReSPECT</w:t>
      </w:r>
      <w:proofErr w:type="spellEnd"/>
      <w:r>
        <w:rPr>
          <w:rFonts w:ascii="Arial" w:hAnsi="Arial" w:cs="Arial"/>
        </w:rPr>
        <w:t xml:space="preserve"> process as being best practice in advance care planning. The RCUK provides the following </w:t>
      </w:r>
      <w:hyperlink r:id="rId40">
        <w:r>
          <w:rPr>
            <w:rStyle w:val="Hyperlink"/>
            <w:rFonts w:ascii="Arial" w:hAnsi="Arial" w:cs="Arial"/>
          </w:rPr>
          <w:t>resources</w:t>
        </w:r>
      </w:hyperlink>
      <w:r>
        <w:rPr>
          <w:rFonts w:ascii="Arial" w:hAnsi="Arial" w:cs="Arial"/>
        </w:rPr>
        <w:t xml:space="preserve"> to support the use of </w:t>
      </w:r>
      <w:proofErr w:type="spellStart"/>
      <w:r>
        <w:rPr>
          <w:rFonts w:ascii="Arial" w:hAnsi="Arial" w:cs="Arial"/>
        </w:rPr>
        <w:t>ReSPECT</w:t>
      </w:r>
      <w:proofErr w:type="spellEnd"/>
      <w:r>
        <w:rPr>
          <w:rFonts w:ascii="Arial" w:hAnsi="Arial" w:cs="Arial"/>
        </w:rPr>
        <w:t>:</w:t>
      </w:r>
    </w:p>
    <w:p w14:paraId="282366B8" w14:textId="77777777" w:rsidR="00B52E44" w:rsidRDefault="00B52E44">
      <w:pPr>
        <w:rPr>
          <w:rFonts w:ascii="Arial" w:hAnsi="Arial" w:cs="Arial"/>
        </w:rPr>
      </w:pPr>
    </w:p>
    <w:p w14:paraId="71287AFB" w14:textId="77777777" w:rsidR="00B52E44" w:rsidRDefault="00000000">
      <w:pPr>
        <w:pStyle w:val="ListParagraph"/>
        <w:numPr>
          <w:ilvl w:val="0"/>
          <w:numId w:val="10"/>
        </w:numPr>
      </w:pPr>
      <w:hyperlink r:id="rId41">
        <w:r>
          <w:rPr>
            <w:rStyle w:val="Hyperlink"/>
            <w:rFonts w:ascii="Arial" w:hAnsi="Arial" w:cs="Arial"/>
          </w:rPr>
          <w:t>Detailed</w:t>
        </w:r>
      </w:hyperlink>
      <w:r>
        <w:rPr>
          <w:rFonts w:ascii="Arial" w:hAnsi="Arial" w:cs="Arial"/>
        </w:rPr>
        <w:t xml:space="preserve"> information on </w:t>
      </w:r>
      <w:proofErr w:type="spellStart"/>
      <w:r>
        <w:rPr>
          <w:rFonts w:ascii="Arial" w:hAnsi="Arial" w:cs="Arial"/>
        </w:rPr>
        <w:t>ReSPECT</w:t>
      </w:r>
      <w:proofErr w:type="spellEnd"/>
      <w:r>
        <w:rPr>
          <w:rFonts w:ascii="Arial" w:hAnsi="Arial" w:cs="Arial"/>
        </w:rPr>
        <w:t xml:space="preserve"> for both staff and patients</w:t>
      </w:r>
    </w:p>
    <w:p w14:paraId="3902DCBB" w14:textId="77777777" w:rsidR="00B52E44" w:rsidRDefault="00000000">
      <w:pPr>
        <w:pStyle w:val="ListParagraph"/>
        <w:numPr>
          <w:ilvl w:val="0"/>
          <w:numId w:val="10"/>
        </w:numPr>
      </w:pPr>
      <w:hyperlink r:id="rId42">
        <w:r>
          <w:rPr>
            <w:rStyle w:val="Hyperlink"/>
            <w:rFonts w:ascii="Arial" w:hAnsi="Arial" w:cs="Arial"/>
          </w:rPr>
          <w:t>Information</w:t>
        </w:r>
      </w:hyperlink>
      <w:r>
        <w:rPr>
          <w:rFonts w:ascii="Arial" w:hAnsi="Arial" w:cs="Arial"/>
        </w:rPr>
        <w:t xml:space="preserve"> on v3 of the </w:t>
      </w:r>
      <w:proofErr w:type="spellStart"/>
      <w:r>
        <w:rPr>
          <w:rFonts w:ascii="Arial" w:hAnsi="Arial" w:cs="Arial"/>
        </w:rPr>
        <w:t>ReSPECT</w:t>
      </w:r>
      <w:proofErr w:type="spellEnd"/>
      <w:r>
        <w:rPr>
          <w:rFonts w:ascii="Arial" w:hAnsi="Arial" w:cs="Arial"/>
        </w:rPr>
        <w:t xml:space="preserve"> form, coupled with FAQs</w:t>
      </w:r>
    </w:p>
    <w:p w14:paraId="3DDABAFD" w14:textId="77777777" w:rsidR="00B52E44" w:rsidRDefault="00000000">
      <w:pPr>
        <w:pStyle w:val="ListParagraph"/>
        <w:numPr>
          <w:ilvl w:val="0"/>
          <w:numId w:val="10"/>
        </w:numPr>
      </w:pPr>
      <w:hyperlink r:id="rId43">
        <w:r>
          <w:rPr>
            <w:rStyle w:val="Hyperlink"/>
            <w:rFonts w:ascii="Arial" w:hAnsi="Arial" w:cs="Arial"/>
          </w:rPr>
          <w:t>Advice</w:t>
        </w:r>
      </w:hyperlink>
      <w:r>
        <w:rPr>
          <w:rFonts w:ascii="Arial" w:hAnsi="Arial" w:cs="Arial"/>
        </w:rPr>
        <w:t xml:space="preserve"> on decisions relating to cardiopulmonary resuscitation (CPR) </w:t>
      </w:r>
    </w:p>
    <w:p w14:paraId="0B445993" w14:textId="77777777" w:rsidR="00B52E44" w:rsidRDefault="00000000">
      <w:pPr>
        <w:pStyle w:val="Heading2"/>
        <w:rPr>
          <w:rFonts w:ascii="Arial" w:hAnsi="Arial" w:cs="Arial"/>
          <w:smallCaps w:val="0"/>
          <w:sz w:val="24"/>
          <w:szCs w:val="24"/>
          <w:lang w:val="en-GB"/>
        </w:rPr>
      </w:pPr>
      <w:bookmarkStart w:id="25" w:name="_DNACPR_during_COVID-19"/>
      <w:bookmarkStart w:id="26" w:name="_Toc119930246"/>
      <w:bookmarkEnd w:id="25"/>
      <w:r>
        <w:rPr>
          <w:rFonts w:ascii="Arial" w:hAnsi="Arial" w:cs="Arial"/>
          <w:smallCaps w:val="0"/>
          <w:sz w:val="24"/>
          <w:szCs w:val="24"/>
          <w:lang w:val="en-GB"/>
        </w:rPr>
        <w:t>DNACPR during the COVID-19 pandemic</w:t>
      </w:r>
      <w:bookmarkEnd w:id="26"/>
    </w:p>
    <w:p w14:paraId="582D11D3" w14:textId="77777777" w:rsidR="00B52E44" w:rsidRDefault="00B52E44">
      <w:pPr>
        <w:rPr>
          <w:rFonts w:ascii="Arial" w:hAnsi="Arial" w:cs="Arial"/>
        </w:rPr>
      </w:pPr>
    </w:p>
    <w:p w14:paraId="5411B90C" w14:textId="77777777" w:rsidR="00B52E44" w:rsidRDefault="00000000">
      <w:pPr>
        <w:rPr>
          <w:rFonts w:ascii="Arial" w:hAnsi="Arial" w:cs="Arial"/>
        </w:rPr>
      </w:pPr>
      <w:r>
        <w:rPr>
          <w:rFonts w:ascii="Arial" w:hAnsi="Arial" w:cs="Arial"/>
        </w:rPr>
        <w:t>The COVID-19 pandemic has highlighted the importance of sensitive and well-structured conversations regarding a patient’s realistic healthcare choices and the need for a shared understanding between all involved persons.</w:t>
      </w:r>
    </w:p>
    <w:p w14:paraId="46F4E2B1" w14:textId="77777777" w:rsidR="00B52E44" w:rsidRDefault="00B52E44">
      <w:pPr>
        <w:rPr>
          <w:rFonts w:ascii="Arial" w:hAnsi="Arial" w:cs="Arial"/>
        </w:rPr>
      </w:pPr>
    </w:p>
    <w:p w14:paraId="3BA97844" w14:textId="77777777" w:rsidR="00B52E44" w:rsidRDefault="00000000">
      <w:pPr>
        <w:rPr>
          <w:rFonts w:ascii="Arial" w:hAnsi="Arial" w:cs="Arial"/>
        </w:rPr>
      </w:pPr>
      <w:r>
        <w:rPr>
          <w:rFonts w:ascii="Arial" w:hAnsi="Arial" w:cs="Arial"/>
        </w:rPr>
        <w:t xml:space="preserve">DNACPR decisions during the COVID-19 pandemic raised concerns that there was a blanket application of DNACPR decisions to groups of people, rather than those </w:t>
      </w:r>
      <w:r>
        <w:rPr>
          <w:rFonts w:ascii="Arial" w:hAnsi="Arial" w:cs="Arial"/>
        </w:rPr>
        <w:lastRenderedPageBreak/>
        <w:t>decisions being applied based on an assessment of each person’s individual circumstances.</w:t>
      </w:r>
    </w:p>
    <w:p w14:paraId="6F77ABFB" w14:textId="77777777" w:rsidR="00B52E44" w:rsidRDefault="00B52E44">
      <w:pPr>
        <w:rPr>
          <w:rFonts w:ascii="Arial" w:hAnsi="Arial" w:cs="Arial"/>
        </w:rPr>
      </w:pPr>
    </w:p>
    <w:p w14:paraId="5D0DAFDF" w14:textId="77777777" w:rsidR="00B52E44" w:rsidRDefault="00000000">
      <w:pPr>
        <w:rPr>
          <w:rFonts w:ascii="Arial" w:hAnsi="Arial" w:cs="Arial"/>
        </w:rPr>
      </w:pPr>
      <w:r>
        <w:rPr>
          <w:rFonts w:ascii="Arial" w:hAnsi="Arial" w:cs="Arial"/>
        </w:rPr>
        <w:t>As such, the CQC has explored the implementation of best practice DNACPR</w:t>
      </w:r>
    </w:p>
    <w:p w14:paraId="7120E93B" w14:textId="77777777" w:rsidR="00B52E44" w:rsidRDefault="00000000">
      <w:r>
        <w:rPr>
          <w:rFonts w:ascii="Arial" w:hAnsi="Arial" w:cs="Arial"/>
        </w:rPr>
        <w:t xml:space="preserve">Guidance, and the key points raised were that </w:t>
      </w:r>
      <w:r>
        <w:rPr>
          <w:rFonts w:ascii="Arial" w:hAnsi="Arial" w:cs="Arial"/>
          <w:i/>
          <w:iCs/>
        </w:rPr>
        <w:t xml:space="preserve">“conversations about DNACPR should not happen in isolation” </w:t>
      </w:r>
      <w:r>
        <w:rPr>
          <w:rFonts w:ascii="Arial" w:hAnsi="Arial" w:cs="Arial"/>
        </w:rPr>
        <w:t xml:space="preserve">and that the CQC expects </w:t>
      </w:r>
      <w:r>
        <w:rPr>
          <w:rFonts w:ascii="Arial" w:hAnsi="Arial" w:cs="Arial"/>
          <w:i/>
          <w:iCs/>
        </w:rPr>
        <w:t>“DNACPR decisions to take place as part of broader conversations about future care and treatment.”</w:t>
      </w:r>
      <w:r>
        <w:rPr>
          <w:rFonts w:ascii="Arial" w:hAnsi="Arial" w:cs="Arial"/>
        </w:rPr>
        <w:t xml:space="preserve"> </w:t>
      </w:r>
    </w:p>
    <w:p w14:paraId="16A079DE" w14:textId="77777777" w:rsidR="00B52E44" w:rsidRDefault="00000000">
      <w:pPr>
        <w:rPr>
          <w:rFonts w:ascii="Arial" w:hAnsi="Arial" w:cs="Arial"/>
        </w:rPr>
      </w:pPr>
      <w:r>
        <w:rPr>
          <w:rFonts w:ascii="Arial" w:hAnsi="Arial" w:cs="Arial"/>
        </w:rPr>
        <w:t>See further reading from the CQC regarding DNACPR:</w:t>
      </w:r>
    </w:p>
    <w:p w14:paraId="256FEFD3" w14:textId="77777777" w:rsidR="00B52E44" w:rsidRDefault="00B52E44">
      <w:pPr>
        <w:rPr>
          <w:rFonts w:ascii="Arial" w:hAnsi="Arial" w:cs="Arial"/>
        </w:rPr>
      </w:pPr>
    </w:p>
    <w:p w14:paraId="525031A4" w14:textId="77777777" w:rsidR="00B52E44" w:rsidRDefault="00000000">
      <w:pPr>
        <w:pStyle w:val="ListParagraph"/>
        <w:numPr>
          <w:ilvl w:val="0"/>
          <w:numId w:val="9"/>
        </w:numPr>
      </w:pPr>
      <w:hyperlink r:id="rId44">
        <w:r>
          <w:rPr>
            <w:rStyle w:val="Hyperlink"/>
            <w:rFonts w:ascii="Arial" w:hAnsi="Arial" w:cs="Arial"/>
          </w:rPr>
          <w:t>Announcement</w:t>
        </w:r>
      </w:hyperlink>
      <w:r>
        <w:rPr>
          <w:rFonts w:ascii="Arial" w:hAnsi="Arial" w:cs="Arial"/>
        </w:rPr>
        <w:t xml:space="preserve"> dated 3 December 2020</w:t>
      </w:r>
    </w:p>
    <w:p w14:paraId="698D3F0F" w14:textId="77777777" w:rsidR="00B52E44" w:rsidRDefault="00000000">
      <w:pPr>
        <w:pStyle w:val="ListParagraph"/>
        <w:numPr>
          <w:ilvl w:val="0"/>
          <w:numId w:val="9"/>
        </w:numPr>
      </w:pPr>
      <w:hyperlink r:id="rId45">
        <w:r>
          <w:rPr>
            <w:rStyle w:val="Hyperlink"/>
            <w:rFonts w:ascii="Arial" w:hAnsi="Arial" w:cs="Arial"/>
          </w:rPr>
          <w:t>Interim Report</w:t>
        </w:r>
      </w:hyperlink>
      <w:r>
        <w:rPr>
          <w:rFonts w:ascii="Arial" w:hAnsi="Arial" w:cs="Arial"/>
        </w:rPr>
        <w:t xml:space="preserve"> dated January 2021</w:t>
      </w:r>
    </w:p>
    <w:p w14:paraId="6AB92486" w14:textId="77777777" w:rsidR="00B52E44" w:rsidRDefault="00000000">
      <w:pPr>
        <w:pStyle w:val="ListParagraph"/>
        <w:numPr>
          <w:ilvl w:val="0"/>
          <w:numId w:val="9"/>
        </w:numPr>
      </w:pPr>
      <w:hyperlink r:id="rId46">
        <w:r>
          <w:rPr>
            <w:rStyle w:val="Hyperlink"/>
            <w:rFonts w:ascii="Arial" w:hAnsi="Arial" w:cs="Arial"/>
          </w:rPr>
          <w:t>Final Report</w:t>
        </w:r>
      </w:hyperlink>
      <w:r>
        <w:rPr>
          <w:rFonts w:ascii="Arial" w:hAnsi="Arial" w:cs="Arial"/>
        </w:rPr>
        <w:t xml:space="preserve"> dated March 2021</w:t>
      </w:r>
    </w:p>
    <w:p w14:paraId="5BBB0F1B" w14:textId="77777777" w:rsidR="00B52E44" w:rsidRDefault="00000000">
      <w:pPr>
        <w:pStyle w:val="Heading1"/>
        <w:keepLines/>
        <w:pBdr>
          <w:bottom w:val="single" w:sz="4" w:space="1" w:color="595959"/>
        </w:pBdr>
        <w:spacing w:before="360" w:after="160" w:line="259" w:lineRule="auto"/>
        <w:rPr>
          <w:sz w:val="28"/>
          <w:szCs w:val="28"/>
        </w:rPr>
      </w:pPr>
      <w:bookmarkStart w:id="27" w:name="_Toc59456971"/>
      <w:bookmarkStart w:id="28" w:name="_Toc59460749"/>
      <w:bookmarkStart w:id="29" w:name="_Toc59460095"/>
      <w:bookmarkStart w:id="30" w:name="_Toc59459575"/>
      <w:bookmarkStart w:id="31" w:name="_Toc59458780"/>
      <w:bookmarkStart w:id="32" w:name="_Toc59458713"/>
      <w:bookmarkStart w:id="33" w:name="_Toc59458646"/>
      <w:bookmarkStart w:id="34" w:name="_Toc59458580"/>
      <w:bookmarkStart w:id="35" w:name="_Toc119930247"/>
      <w:bookmarkEnd w:id="27"/>
      <w:bookmarkEnd w:id="28"/>
      <w:bookmarkEnd w:id="29"/>
      <w:bookmarkEnd w:id="30"/>
      <w:bookmarkEnd w:id="31"/>
      <w:bookmarkEnd w:id="32"/>
      <w:bookmarkEnd w:id="33"/>
      <w:bookmarkEnd w:id="34"/>
      <w:r>
        <w:rPr>
          <w:sz w:val="28"/>
          <w:szCs w:val="28"/>
        </w:rPr>
        <w:t>Emergency equipment</w:t>
      </w:r>
      <w:bookmarkEnd w:id="35"/>
    </w:p>
    <w:p w14:paraId="323F6443" w14:textId="77777777" w:rsidR="00B52E44" w:rsidRDefault="00000000">
      <w:pPr>
        <w:pStyle w:val="Heading2"/>
        <w:rPr>
          <w:rFonts w:ascii="Arial" w:hAnsi="Arial" w:cs="Arial"/>
          <w:smallCaps w:val="0"/>
          <w:sz w:val="24"/>
          <w:szCs w:val="24"/>
          <w:lang w:val="en-GB"/>
        </w:rPr>
      </w:pPr>
      <w:bookmarkStart w:id="36" w:name="_Toc119930248"/>
      <w:r>
        <w:rPr>
          <w:rFonts w:ascii="Arial" w:hAnsi="Arial" w:cs="Arial"/>
          <w:smallCaps w:val="0"/>
          <w:sz w:val="24"/>
          <w:szCs w:val="24"/>
          <w:lang w:val="en-GB"/>
        </w:rPr>
        <w:t>General emergency equipment</w:t>
      </w:r>
      <w:bookmarkStart w:id="37" w:name="_Hlk59444856"/>
      <w:bookmarkEnd w:id="36"/>
      <w:bookmarkEnd w:id="37"/>
    </w:p>
    <w:p w14:paraId="44F635EE" w14:textId="77777777" w:rsidR="00B52E44" w:rsidRDefault="00B52E44"/>
    <w:p w14:paraId="347FD243" w14:textId="6D46B7BB" w:rsidR="00B52E44" w:rsidRDefault="00000000">
      <w:r>
        <w:rPr>
          <w:rFonts w:ascii="Arial" w:hAnsi="Arial" w:cs="Arial"/>
          <w:color w:val="000000"/>
        </w:rPr>
        <w:t xml:space="preserve">To enable </w:t>
      </w:r>
      <w:r w:rsidR="00542C91">
        <w:rPr>
          <w:rFonts w:ascii="Arial" w:hAnsi="Arial" w:cs="Arial"/>
        </w:rPr>
        <w:t xml:space="preserve">Sheerwater Health Centre </w:t>
      </w:r>
      <w:r>
        <w:rPr>
          <w:rFonts w:ascii="Arial" w:hAnsi="Arial" w:cs="Arial"/>
          <w:color w:val="000000"/>
        </w:rPr>
        <w:t xml:space="preserve">to deal with an emergency effectively, processes are in place to ensure that emergency equipment is serviceable and in date, including all ancillary equipment. </w:t>
      </w:r>
      <w:r>
        <w:rPr>
          <w:rFonts w:ascii="Arial" w:hAnsi="Arial" w:cs="Arial"/>
        </w:rPr>
        <w:t xml:space="preserve">Patient safety is paramount and therefore all staff are trained and aware of what to do in an emergency. </w:t>
      </w:r>
    </w:p>
    <w:p w14:paraId="26B23646" w14:textId="77777777" w:rsidR="00B52E44" w:rsidRDefault="00B52E44">
      <w:pPr>
        <w:rPr>
          <w:rFonts w:ascii="Arial" w:hAnsi="Arial" w:cs="Arial"/>
        </w:rPr>
      </w:pPr>
    </w:p>
    <w:p w14:paraId="1DD8DE6B" w14:textId="77777777" w:rsidR="00B52E44" w:rsidRDefault="00000000">
      <w:pPr>
        <w:rPr>
          <w:rFonts w:ascii="Arial" w:hAnsi="Arial" w:cs="Arial"/>
          <w:color w:val="000000"/>
        </w:rPr>
      </w:pPr>
      <w:r>
        <w:rPr>
          <w:rFonts w:ascii="Arial" w:hAnsi="Arial" w:cs="Arial"/>
          <w:color w:val="000000"/>
        </w:rPr>
        <w:t>Checklists are an effective way of ensuring compliance and they provide evidence of good practice.</w:t>
      </w:r>
    </w:p>
    <w:p w14:paraId="23D9712F" w14:textId="77777777" w:rsidR="00B52E44" w:rsidRDefault="00B52E44">
      <w:pPr>
        <w:rPr>
          <w:rFonts w:ascii="Arial" w:hAnsi="Arial" w:cs="Arial"/>
          <w:color w:val="000000"/>
        </w:rPr>
      </w:pPr>
    </w:p>
    <w:p w14:paraId="67D7E865" w14:textId="52F7E6E5" w:rsidR="00B52E44" w:rsidRDefault="00000000">
      <w:r>
        <w:rPr>
          <w:rFonts w:ascii="Arial" w:hAnsi="Arial" w:cs="Arial"/>
        </w:rPr>
        <w:t xml:space="preserve">At </w:t>
      </w:r>
      <w:r w:rsidR="00542C91">
        <w:rPr>
          <w:rFonts w:ascii="Arial" w:hAnsi="Arial" w:cs="Arial"/>
        </w:rPr>
        <w:t>Sheerwater Health Centre</w:t>
      </w:r>
      <w:r>
        <w:rPr>
          <w:rFonts w:ascii="Arial" w:hAnsi="Arial" w:cs="Arial"/>
        </w:rPr>
        <w:t xml:space="preserve">, oxygen, a defibrillator and other emergency </w:t>
      </w:r>
      <w:proofErr w:type="gramStart"/>
      <w:r>
        <w:rPr>
          <w:rFonts w:ascii="Arial" w:hAnsi="Arial" w:cs="Arial"/>
        </w:rPr>
        <w:t>equipment  are</w:t>
      </w:r>
      <w:proofErr w:type="gramEnd"/>
      <w:r>
        <w:rPr>
          <w:rFonts w:ascii="Arial" w:hAnsi="Arial" w:cs="Arial"/>
        </w:rPr>
        <w:t xml:space="preserve"> stored in the </w:t>
      </w:r>
      <w:r w:rsidR="00542C91">
        <w:rPr>
          <w:rFonts w:ascii="Arial" w:hAnsi="Arial" w:cs="Arial"/>
        </w:rPr>
        <w:t>Treatment room</w:t>
      </w:r>
      <w:r>
        <w:rPr>
          <w:rFonts w:ascii="Arial" w:hAnsi="Arial" w:cs="Arial"/>
        </w:rPr>
        <w:t xml:space="preserve">. Overall responsibility for this equipment rests with </w:t>
      </w:r>
      <w:r w:rsidR="00542C91">
        <w:rPr>
          <w:rFonts w:ascii="Arial" w:hAnsi="Arial" w:cs="Arial"/>
        </w:rPr>
        <w:t>Wendy Mayne (Practice Nurse)</w:t>
      </w:r>
      <w:r>
        <w:rPr>
          <w:rFonts w:ascii="Arial" w:hAnsi="Arial" w:cs="Arial"/>
        </w:rPr>
        <w:t xml:space="preserve">. This equipment must be routinely checked on a </w:t>
      </w:r>
      <w:r w:rsidR="000B6F8A">
        <w:rPr>
          <w:rFonts w:ascii="Arial" w:hAnsi="Arial" w:cs="Arial"/>
        </w:rPr>
        <w:t>regular</w:t>
      </w:r>
      <w:r>
        <w:rPr>
          <w:rFonts w:ascii="Arial" w:hAnsi="Arial" w:cs="Arial"/>
        </w:rPr>
        <w:t xml:space="preserve"> basis to ensure its serviceability. </w:t>
      </w:r>
    </w:p>
    <w:p w14:paraId="60FB601A" w14:textId="77777777" w:rsidR="00B52E44" w:rsidRDefault="00B52E44">
      <w:pPr>
        <w:rPr>
          <w:rFonts w:ascii="Arial" w:hAnsi="Arial" w:cs="Arial"/>
          <w:color w:val="000000"/>
        </w:rPr>
      </w:pPr>
    </w:p>
    <w:p w14:paraId="26A2B77D" w14:textId="77777777" w:rsidR="00B52E44" w:rsidRDefault="00000000">
      <w:r>
        <w:rPr>
          <w:rFonts w:ascii="Arial" w:hAnsi="Arial" w:cs="Arial"/>
          <w:color w:val="000000"/>
        </w:rPr>
        <w:t xml:space="preserve">GP </w:t>
      </w:r>
      <w:proofErr w:type="spellStart"/>
      <w:r>
        <w:rPr>
          <w:rFonts w:ascii="Arial" w:hAnsi="Arial" w:cs="Arial"/>
          <w:color w:val="000000"/>
        </w:rPr>
        <w:t>Mythbuster</w:t>
      </w:r>
      <w:proofErr w:type="spellEnd"/>
      <w:r>
        <w:rPr>
          <w:rFonts w:ascii="Arial" w:hAnsi="Arial" w:cs="Arial"/>
          <w:color w:val="000000"/>
        </w:rPr>
        <w:t xml:space="preserve"> 9 advises of the suggested emergency drugs that are to be considered and is further detailed at </w:t>
      </w:r>
      <w:hyperlink w:anchor="_Emergency_drugs">
        <w:r>
          <w:rPr>
            <w:rStyle w:val="Hyperlink"/>
            <w:rFonts w:ascii="Arial" w:hAnsi="Arial" w:cs="Arial"/>
          </w:rPr>
          <w:t>Section 3.4</w:t>
        </w:r>
      </w:hyperlink>
      <w:r>
        <w:rPr>
          <w:rFonts w:ascii="Arial" w:hAnsi="Arial" w:cs="Arial"/>
          <w:color w:val="000000"/>
        </w:rPr>
        <w:t xml:space="preserve">, whereas, RCUK have a </w:t>
      </w:r>
      <w:hyperlink r:id="rId47" w:anchor="equipment" w:history="1">
        <w:r>
          <w:rPr>
            <w:rStyle w:val="Hyperlink"/>
            <w:rFonts w:ascii="Arial" w:hAnsi="Arial" w:cs="Arial"/>
          </w:rPr>
          <w:t>minimum suggested equipment</w:t>
        </w:r>
      </w:hyperlink>
      <w:r>
        <w:rPr>
          <w:rFonts w:ascii="Arial" w:hAnsi="Arial" w:cs="Arial"/>
          <w:color w:val="3E3E35"/>
          <w:shd w:val="clear" w:color="auto" w:fill="FFFFFF"/>
        </w:rPr>
        <w:t> </w:t>
      </w:r>
      <w:r>
        <w:rPr>
          <w:rFonts w:ascii="Arial" w:hAnsi="Arial" w:cs="Arial"/>
          <w:shd w:val="clear" w:color="auto" w:fill="FFFFFF"/>
        </w:rPr>
        <w:t xml:space="preserve">to support CPR in primary care settings. As this list is not comprehensive, it has been interpreted and </w:t>
      </w:r>
      <w:hyperlink r:id="rId48">
        <w:r>
          <w:rPr>
            <w:rStyle w:val="Hyperlink"/>
            <w:rFonts w:ascii="Arial" w:hAnsi="Arial" w:cs="Arial"/>
            <w:shd w:val="clear" w:color="auto" w:fill="FFFFFF"/>
          </w:rPr>
          <w:t>risk assessed</w:t>
        </w:r>
      </w:hyperlink>
      <w:r>
        <w:rPr>
          <w:rFonts w:ascii="Arial" w:hAnsi="Arial" w:cs="Arial"/>
          <w:color w:val="3E3E35"/>
          <w:shd w:val="clear" w:color="auto" w:fill="FFFFFF"/>
        </w:rPr>
        <w:t xml:space="preserve"> </w:t>
      </w:r>
      <w:r>
        <w:rPr>
          <w:rFonts w:ascii="Arial" w:hAnsi="Arial" w:cs="Arial"/>
          <w:shd w:val="clear" w:color="auto" w:fill="FFFFFF"/>
        </w:rPr>
        <w:t>to ensure that appropriate cover can be maintained during a medical emergency.</w:t>
      </w:r>
    </w:p>
    <w:p w14:paraId="4B65FB6B" w14:textId="77777777" w:rsidR="00B52E44" w:rsidRDefault="00B52E44">
      <w:pPr>
        <w:rPr>
          <w:rFonts w:ascii="Arial" w:hAnsi="Arial" w:cs="Arial"/>
        </w:rPr>
      </w:pPr>
    </w:p>
    <w:p w14:paraId="226B1CE0" w14:textId="77777777" w:rsidR="00B52E44" w:rsidRDefault="00000000">
      <w:pPr>
        <w:pStyle w:val="NormalWeb"/>
        <w:shd w:val="clear" w:color="auto" w:fill="FFFFFF"/>
        <w:spacing w:before="0" w:after="0"/>
      </w:pPr>
      <w:r>
        <w:rPr>
          <w:rFonts w:ascii="Arial" w:eastAsia="Calibri" w:hAnsi="Arial" w:cs="Arial"/>
          <w:sz w:val="22"/>
          <w:szCs w:val="22"/>
          <w:lang w:eastAsia="en-US"/>
        </w:rPr>
        <w:t xml:space="preserve">The following list of factors is also taken into consideration in preparation for any emergency. </w:t>
      </w:r>
    </w:p>
    <w:p w14:paraId="023F9186" w14:textId="77777777" w:rsidR="00B52E44" w:rsidRDefault="00B52E44">
      <w:pPr>
        <w:pStyle w:val="NormalWeb"/>
        <w:shd w:val="clear" w:color="auto" w:fill="FFFFFF"/>
        <w:spacing w:before="0" w:after="0" w:line="336" w:lineRule="atLeast"/>
        <w:rPr>
          <w:rFonts w:ascii="Arial" w:eastAsia="Calibri" w:hAnsi="Arial" w:cs="Arial"/>
          <w:sz w:val="22"/>
          <w:szCs w:val="22"/>
          <w:lang w:eastAsia="en-US"/>
        </w:rPr>
      </w:pPr>
    </w:p>
    <w:p w14:paraId="5BBE747B" w14:textId="77777777" w:rsidR="00B52E44" w:rsidRDefault="00000000">
      <w:pPr>
        <w:pStyle w:val="ListParagraph"/>
        <w:numPr>
          <w:ilvl w:val="0"/>
          <w:numId w:val="18"/>
        </w:numPr>
        <w:rPr>
          <w:rFonts w:ascii="Arial" w:hAnsi="Arial" w:cs="Arial"/>
        </w:rPr>
      </w:pPr>
      <w:r>
        <w:rPr>
          <w:rFonts w:ascii="Arial" w:hAnsi="Arial" w:cs="Arial"/>
        </w:rPr>
        <w:t>List size and demographics</w:t>
      </w:r>
    </w:p>
    <w:p w14:paraId="3487725F" w14:textId="77777777" w:rsidR="00B52E44" w:rsidRDefault="00000000">
      <w:pPr>
        <w:pStyle w:val="ListParagraph"/>
        <w:numPr>
          <w:ilvl w:val="0"/>
          <w:numId w:val="18"/>
        </w:numPr>
        <w:rPr>
          <w:rFonts w:ascii="Arial" w:hAnsi="Arial" w:cs="Arial"/>
        </w:rPr>
      </w:pPr>
      <w:r>
        <w:rPr>
          <w:rFonts w:ascii="Arial" w:hAnsi="Arial" w:cs="Arial"/>
        </w:rPr>
        <w:t>Proximity to the nearest hospital</w:t>
      </w:r>
    </w:p>
    <w:p w14:paraId="4B3B6F44" w14:textId="77777777" w:rsidR="00B52E44" w:rsidRDefault="00000000">
      <w:pPr>
        <w:pStyle w:val="ListParagraph"/>
        <w:numPr>
          <w:ilvl w:val="0"/>
          <w:numId w:val="18"/>
        </w:numPr>
        <w:rPr>
          <w:rFonts w:ascii="Arial" w:hAnsi="Arial" w:cs="Arial"/>
        </w:rPr>
      </w:pPr>
      <w:r>
        <w:rPr>
          <w:rFonts w:ascii="Arial" w:hAnsi="Arial" w:cs="Arial"/>
        </w:rPr>
        <w:t>Medical conditions that are likely to be faced</w:t>
      </w:r>
    </w:p>
    <w:p w14:paraId="42286BDB" w14:textId="77777777" w:rsidR="00B52E44" w:rsidRDefault="00000000">
      <w:pPr>
        <w:pStyle w:val="ListParagraph"/>
        <w:numPr>
          <w:ilvl w:val="0"/>
          <w:numId w:val="18"/>
        </w:numPr>
        <w:rPr>
          <w:rFonts w:ascii="Arial" w:hAnsi="Arial" w:cs="Arial"/>
        </w:rPr>
      </w:pPr>
      <w:r>
        <w:rPr>
          <w:rFonts w:ascii="Arial" w:hAnsi="Arial" w:cs="Arial"/>
        </w:rPr>
        <w:t>Current stock levels</w:t>
      </w:r>
    </w:p>
    <w:p w14:paraId="23BE7678" w14:textId="77777777" w:rsidR="00B52E44" w:rsidRDefault="00000000">
      <w:pPr>
        <w:pStyle w:val="ListParagraph"/>
        <w:numPr>
          <w:ilvl w:val="0"/>
          <w:numId w:val="18"/>
        </w:numPr>
        <w:rPr>
          <w:rFonts w:ascii="Arial" w:hAnsi="Arial" w:cs="Arial"/>
        </w:rPr>
      </w:pPr>
      <w:r>
        <w:rPr>
          <w:rFonts w:ascii="Arial" w:hAnsi="Arial" w:cs="Arial"/>
        </w:rPr>
        <w:t>Shelf-life</w:t>
      </w:r>
    </w:p>
    <w:p w14:paraId="5CD39F20" w14:textId="77777777" w:rsidR="00B52E44" w:rsidRDefault="00000000">
      <w:pPr>
        <w:pStyle w:val="ListParagraph"/>
        <w:numPr>
          <w:ilvl w:val="0"/>
          <w:numId w:val="18"/>
        </w:numPr>
        <w:rPr>
          <w:rFonts w:ascii="Arial" w:hAnsi="Arial" w:cs="Arial"/>
        </w:rPr>
      </w:pPr>
      <w:r>
        <w:rPr>
          <w:rFonts w:ascii="Arial" w:hAnsi="Arial" w:cs="Arial"/>
        </w:rPr>
        <w:t>Supporting medicines that staff are confident in using</w:t>
      </w:r>
    </w:p>
    <w:p w14:paraId="3D8C7E0B" w14:textId="77777777" w:rsidR="00B52E44" w:rsidRDefault="00000000">
      <w:pPr>
        <w:pStyle w:val="ListParagraph"/>
        <w:numPr>
          <w:ilvl w:val="0"/>
          <w:numId w:val="18"/>
        </w:numPr>
        <w:rPr>
          <w:rFonts w:ascii="Arial" w:hAnsi="Arial" w:cs="Arial"/>
        </w:rPr>
      </w:pPr>
      <w:r>
        <w:rPr>
          <w:rFonts w:ascii="Arial" w:hAnsi="Arial" w:cs="Arial"/>
        </w:rPr>
        <w:t>Waiting times for ambulances to convey patients to hospital</w:t>
      </w:r>
    </w:p>
    <w:p w14:paraId="51CC49A8" w14:textId="77777777" w:rsidR="00B52E44" w:rsidRDefault="00000000">
      <w:pPr>
        <w:pStyle w:val="ListParagraph"/>
        <w:numPr>
          <w:ilvl w:val="0"/>
          <w:numId w:val="18"/>
        </w:numPr>
        <w:rPr>
          <w:rFonts w:ascii="Arial" w:hAnsi="Arial" w:cs="Arial"/>
        </w:rPr>
      </w:pPr>
      <w:r>
        <w:rPr>
          <w:rFonts w:ascii="Arial" w:hAnsi="Arial" w:cs="Arial"/>
        </w:rPr>
        <w:t>Longer delays for transfer</w:t>
      </w:r>
    </w:p>
    <w:p w14:paraId="25328DD2" w14:textId="77777777" w:rsidR="00B52E44" w:rsidRDefault="00000000">
      <w:pPr>
        <w:pStyle w:val="ListParagraph"/>
        <w:numPr>
          <w:ilvl w:val="0"/>
          <w:numId w:val="18"/>
        </w:numPr>
        <w:rPr>
          <w:rFonts w:ascii="Arial" w:hAnsi="Arial" w:cs="Arial"/>
        </w:rPr>
      </w:pPr>
      <w:r>
        <w:rPr>
          <w:rFonts w:ascii="Arial" w:hAnsi="Arial" w:cs="Arial"/>
        </w:rPr>
        <w:t>Previous history of usage, including consideration for increased COVID-19 requirements</w:t>
      </w:r>
    </w:p>
    <w:p w14:paraId="454FC31F" w14:textId="77777777" w:rsidR="00B52E44" w:rsidRDefault="00000000">
      <w:pPr>
        <w:pStyle w:val="ListParagraph"/>
        <w:numPr>
          <w:ilvl w:val="0"/>
          <w:numId w:val="18"/>
        </w:numPr>
        <w:rPr>
          <w:rFonts w:ascii="Arial" w:hAnsi="Arial" w:cs="Arial"/>
        </w:rPr>
      </w:pPr>
      <w:r>
        <w:rPr>
          <w:rFonts w:ascii="Arial" w:hAnsi="Arial" w:cs="Arial"/>
        </w:rPr>
        <w:t>Speed of resupply from supplier</w:t>
      </w:r>
    </w:p>
    <w:p w14:paraId="1FFD543B" w14:textId="77777777" w:rsidR="00B52E44" w:rsidRDefault="00000000">
      <w:pPr>
        <w:pStyle w:val="ListParagraph"/>
        <w:numPr>
          <w:ilvl w:val="0"/>
          <w:numId w:val="18"/>
        </w:numPr>
        <w:rPr>
          <w:rFonts w:ascii="Arial" w:hAnsi="Arial" w:cs="Arial"/>
        </w:rPr>
      </w:pPr>
      <w:r>
        <w:rPr>
          <w:rFonts w:ascii="Arial" w:hAnsi="Arial" w:cs="Arial"/>
        </w:rPr>
        <w:t>Local resources i.e., other surgery</w:t>
      </w:r>
    </w:p>
    <w:p w14:paraId="54951859" w14:textId="77777777" w:rsidR="00B52E44" w:rsidRDefault="00000000">
      <w:pPr>
        <w:pStyle w:val="ListParagraph"/>
        <w:numPr>
          <w:ilvl w:val="0"/>
          <w:numId w:val="18"/>
        </w:numPr>
        <w:rPr>
          <w:rFonts w:ascii="Arial" w:hAnsi="Arial" w:cs="Arial"/>
        </w:rPr>
      </w:pPr>
      <w:r>
        <w:rPr>
          <w:rFonts w:ascii="Arial" w:hAnsi="Arial" w:cs="Arial"/>
        </w:rPr>
        <w:lastRenderedPageBreak/>
        <w:t>Staffing levels and consideration for longer waits for transfer. Need for overtime or lone working concerns</w:t>
      </w:r>
    </w:p>
    <w:p w14:paraId="3E5E650A" w14:textId="77777777" w:rsidR="00B52E44" w:rsidRDefault="00B52E44">
      <w:pPr>
        <w:pStyle w:val="NormalWeb"/>
        <w:shd w:val="clear" w:color="auto" w:fill="FFFFFF"/>
        <w:spacing w:before="0" w:after="0"/>
        <w:rPr>
          <w:rFonts w:ascii="Arial" w:hAnsi="Arial" w:cs="Arial"/>
          <w:sz w:val="22"/>
        </w:rPr>
      </w:pPr>
    </w:p>
    <w:p w14:paraId="465707C6" w14:textId="77777777" w:rsidR="00B52E44" w:rsidRDefault="00000000">
      <w:pPr>
        <w:pStyle w:val="NormalWeb"/>
        <w:shd w:val="clear" w:color="auto" w:fill="FFFFFF"/>
        <w:spacing w:before="0" w:after="0"/>
      </w:pPr>
      <w:r>
        <w:rPr>
          <w:rFonts w:ascii="Arial" w:hAnsi="Arial" w:cs="Arial"/>
          <w:sz w:val="22"/>
        </w:rPr>
        <w:t xml:space="preserve">All emergency equipment is checked regularly for serviceability. An emergency equipment checklist can be found at </w:t>
      </w:r>
      <w:hyperlink w:anchor="_Annex_A_–">
        <w:r>
          <w:rPr>
            <w:rStyle w:val="Hyperlink"/>
            <w:rFonts w:ascii="Arial" w:hAnsi="Arial" w:cs="Arial"/>
            <w:sz w:val="22"/>
          </w:rPr>
          <w:t>Annex A</w:t>
        </w:r>
      </w:hyperlink>
      <w:r>
        <w:rPr>
          <w:rFonts w:ascii="Arial" w:hAnsi="Arial" w:cs="Arial"/>
          <w:sz w:val="22"/>
        </w:rPr>
        <w:t>. Checklists will be filed and retained for six years, until the time for any likely legal action has passed.</w:t>
      </w:r>
    </w:p>
    <w:p w14:paraId="13D21A4A" w14:textId="77777777" w:rsidR="00B52E44" w:rsidRDefault="00B52E44">
      <w:pPr>
        <w:pStyle w:val="NormalWeb"/>
        <w:shd w:val="clear" w:color="auto" w:fill="FFFFFF"/>
        <w:spacing w:before="0" w:after="0"/>
        <w:rPr>
          <w:rFonts w:ascii="Arial" w:hAnsi="Arial" w:cs="Arial"/>
          <w:sz w:val="22"/>
        </w:rPr>
      </w:pPr>
    </w:p>
    <w:p w14:paraId="7E4736CF" w14:textId="77777777" w:rsidR="00B52E44" w:rsidRDefault="00000000">
      <w:pPr>
        <w:pStyle w:val="NormalWeb"/>
        <w:shd w:val="clear" w:color="auto" w:fill="FFFFFF"/>
        <w:spacing w:before="0" w:after="0"/>
      </w:pPr>
      <w:r>
        <w:rPr>
          <w:rFonts w:ascii="Arial" w:hAnsi="Arial" w:cs="Arial"/>
          <w:sz w:val="22"/>
        </w:rPr>
        <w:t xml:space="preserve">A poster advising staff where emergency equipment is located can be found </w:t>
      </w:r>
      <w:hyperlink r:id="rId49">
        <w:r>
          <w:rPr>
            <w:rStyle w:val="Hyperlink"/>
            <w:rFonts w:ascii="Arial" w:hAnsi="Arial" w:cs="Arial"/>
            <w:sz w:val="22"/>
          </w:rPr>
          <w:t>here</w:t>
        </w:r>
      </w:hyperlink>
      <w:r>
        <w:rPr>
          <w:rFonts w:ascii="Arial" w:hAnsi="Arial" w:cs="Arial"/>
          <w:sz w:val="22"/>
        </w:rPr>
        <w:t xml:space="preserve">. </w:t>
      </w:r>
    </w:p>
    <w:p w14:paraId="0D0EB0AB" w14:textId="77777777" w:rsidR="00B52E44" w:rsidRDefault="00B52E44">
      <w:pPr>
        <w:pStyle w:val="NormalWeb"/>
        <w:shd w:val="clear" w:color="auto" w:fill="FFFFFF"/>
        <w:spacing w:before="0" w:after="0"/>
        <w:rPr>
          <w:rFonts w:ascii="Arial" w:hAnsi="Arial" w:cs="Arial"/>
          <w:sz w:val="22"/>
        </w:rPr>
      </w:pPr>
    </w:p>
    <w:p w14:paraId="079C4134" w14:textId="77777777" w:rsidR="00B52E44" w:rsidRDefault="00000000">
      <w:pPr>
        <w:pStyle w:val="NormalWeb"/>
        <w:shd w:val="clear" w:color="auto" w:fill="FFFFFF"/>
        <w:spacing w:before="0" w:after="0"/>
      </w:pPr>
      <w:r>
        <w:rPr>
          <w:rFonts w:ascii="Arial" w:hAnsi="Arial" w:cs="Arial"/>
          <w:sz w:val="22"/>
          <w:szCs w:val="22"/>
        </w:rPr>
        <w:t xml:space="preserve">Further information can be sought within the organisation’s </w:t>
      </w:r>
      <w:hyperlink r:id="rId50">
        <w:r>
          <w:rPr>
            <w:rStyle w:val="Hyperlink"/>
            <w:rFonts w:ascii="Arial" w:hAnsi="Arial" w:cs="Arial"/>
            <w:sz w:val="22"/>
            <w:szCs w:val="22"/>
          </w:rPr>
          <w:t>Record Retention Schedule</w:t>
        </w:r>
      </w:hyperlink>
      <w:r>
        <w:rPr>
          <w:rFonts w:ascii="Arial" w:hAnsi="Arial" w:cs="Arial"/>
          <w:sz w:val="22"/>
          <w:szCs w:val="22"/>
        </w:rPr>
        <w:t>.</w:t>
      </w:r>
    </w:p>
    <w:p w14:paraId="107E1A65" w14:textId="77777777" w:rsidR="00B52E44" w:rsidRDefault="00000000">
      <w:pPr>
        <w:pStyle w:val="Heading2"/>
        <w:rPr>
          <w:rFonts w:ascii="Arial" w:hAnsi="Arial" w:cs="Arial"/>
          <w:smallCaps w:val="0"/>
          <w:sz w:val="24"/>
          <w:szCs w:val="24"/>
          <w:lang w:val="en-GB"/>
        </w:rPr>
      </w:pPr>
      <w:bookmarkStart w:id="38" w:name="_Toc95396234"/>
      <w:bookmarkStart w:id="39" w:name="_Toc95476085"/>
      <w:bookmarkStart w:id="40" w:name="_Toc95468820"/>
      <w:bookmarkStart w:id="41" w:name="_Toc95468739"/>
      <w:bookmarkStart w:id="42" w:name="_Toc95468654"/>
      <w:bookmarkStart w:id="43" w:name="_Toc95468570"/>
      <w:bookmarkStart w:id="44" w:name="_Toc95407562"/>
      <w:bookmarkStart w:id="45" w:name="_Toc95406510"/>
      <w:bookmarkStart w:id="46" w:name="_Toc95396235"/>
      <w:bookmarkStart w:id="47" w:name="_Toc95476084"/>
      <w:bookmarkStart w:id="48" w:name="_Toc95468819"/>
      <w:bookmarkStart w:id="49" w:name="_Toc95468738"/>
      <w:bookmarkStart w:id="50" w:name="_Toc95468653"/>
      <w:bookmarkStart w:id="51" w:name="_Toc95468569"/>
      <w:bookmarkStart w:id="52" w:name="_Toc95407561"/>
      <w:bookmarkStart w:id="53" w:name="_Toc95406509"/>
      <w:bookmarkStart w:id="54" w:name="_Toc11993024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Arial" w:hAnsi="Arial" w:cs="Arial"/>
          <w:smallCaps w:val="0"/>
          <w:sz w:val="24"/>
          <w:szCs w:val="24"/>
          <w:lang w:val="en-GB"/>
        </w:rPr>
        <w:t>Oxygen</w:t>
      </w:r>
      <w:bookmarkEnd w:id="54"/>
    </w:p>
    <w:p w14:paraId="50C75880" w14:textId="77777777" w:rsidR="00B52E44" w:rsidRDefault="00B52E44">
      <w:pPr>
        <w:rPr>
          <w:rFonts w:ascii="Arial" w:hAnsi="Arial" w:cs="Arial"/>
        </w:rPr>
      </w:pPr>
    </w:p>
    <w:p w14:paraId="0A9B0F1A" w14:textId="77777777" w:rsidR="00B52E44" w:rsidRDefault="00000000">
      <w:pPr>
        <w:rPr>
          <w:rFonts w:ascii="Arial" w:hAnsi="Arial" w:cs="Arial"/>
        </w:rPr>
      </w:pPr>
      <w:r>
        <w:rPr>
          <w:rFonts w:ascii="Arial" w:hAnsi="Arial" w:cs="Arial"/>
        </w:rPr>
        <w:t xml:space="preserve">The number of oxygen cylinders that are to be held in the organisation has been reviewed, and a risk assessment that includes oxygen requirements has been conducted. Oxygen stores will be reviewed on a regular basis and following any incident. </w:t>
      </w:r>
    </w:p>
    <w:p w14:paraId="799F21CC" w14:textId="77777777" w:rsidR="00B52E44" w:rsidRDefault="00B52E44">
      <w:pPr>
        <w:rPr>
          <w:rFonts w:ascii="Arial" w:hAnsi="Arial" w:cs="Arial"/>
        </w:rPr>
      </w:pPr>
    </w:p>
    <w:p w14:paraId="68E088A4" w14:textId="77777777" w:rsidR="00B52E44" w:rsidRDefault="00000000">
      <w:pPr>
        <w:rPr>
          <w:rFonts w:ascii="Arial" w:hAnsi="Arial" w:cs="Arial"/>
        </w:rPr>
      </w:pPr>
      <w:r>
        <w:rPr>
          <w:rFonts w:ascii="Arial" w:hAnsi="Arial" w:cs="Arial"/>
        </w:rPr>
        <w:t>Checks on oxygen equipment should include the cylinder (oxygen has a shelf life, as does the cylinder). Whilst most cylinders are now composite with a built-in regulator, should any cylinders have a detachable regulator, then that too will have a shelf-life.</w:t>
      </w:r>
    </w:p>
    <w:p w14:paraId="08E6ED66" w14:textId="77777777" w:rsidR="00B52E44" w:rsidRDefault="00000000">
      <w:pPr>
        <w:rPr>
          <w:rFonts w:ascii="Arial" w:hAnsi="Arial" w:cs="Arial"/>
        </w:rPr>
      </w:pPr>
      <w:r>
        <w:rPr>
          <w:rFonts w:ascii="Arial" w:hAnsi="Arial" w:cs="Arial"/>
        </w:rPr>
        <w:br/>
        <w:t>All ancillary equipment such as masks and tubing also have expiry dates and must therefore be included in any equipment checking and replaced accordingly.</w:t>
      </w:r>
    </w:p>
    <w:p w14:paraId="1E2E1229" w14:textId="77777777" w:rsidR="00B52E44" w:rsidRDefault="00B52E44">
      <w:pPr>
        <w:rPr>
          <w:rFonts w:ascii="Arial" w:hAnsi="Arial" w:cs="Arial"/>
        </w:rPr>
      </w:pPr>
    </w:p>
    <w:p w14:paraId="687B79E5" w14:textId="77777777" w:rsidR="00B52E44" w:rsidRDefault="00000000">
      <w:pPr>
        <w:rPr>
          <w:rFonts w:ascii="Arial" w:hAnsi="Arial" w:cs="Arial"/>
        </w:rPr>
      </w:pPr>
      <w:r>
        <w:rPr>
          <w:rFonts w:ascii="Arial" w:hAnsi="Arial" w:cs="Arial"/>
        </w:rPr>
        <w:t>Further reading on cylinder storage and handling can be sought from:</w:t>
      </w:r>
    </w:p>
    <w:p w14:paraId="64003F93" w14:textId="77777777" w:rsidR="00B52E44" w:rsidRDefault="00B52E44">
      <w:pPr>
        <w:rPr>
          <w:rFonts w:ascii="Arial" w:hAnsi="Arial" w:cs="Arial"/>
        </w:rPr>
      </w:pPr>
    </w:p>
    <w:p w14:paraId="7893CE21" w14:textId="77777777" w:rsidR="00B52E44" w:rsidRDefault="00000000">
      <w:pPr>
        <w:pStyle w:val="ListParagraph"/>
        <w:numPr>
          <w:ilvl w:val="0"/>
          <w:numId w:val="19"/>
        </w:numPr>
      </w:pPr>
      <w:hyperlink r:id="rId51">
        <w:r>
          <w:rPr>
            <w:rStyle w:val="Hyperlink"/>
            <w:rFonts w:ascii="Arial" w:hAnsi="Arial" w:cs="Arial"/>
          </w:rPr>
          <w:t>BOC</w:t>
        </w:r>
      </w:hyperlink>
    </w:p>
    <w:p w14:paraId="5957BF20" w14:textId="77777777" w:rsidR="00B52E44" w:rsidRDefault="00000000">
      <w:pPr>
        <w:pStyle w:val="ListParagraph"/>
        <w:numPr>
          <w:ilvl w:val="0"/>
          <w:numId w:val="19"/>
        </w:numPr>
      </w:pPr>
      <w:hyperlink r:id="rId52">
        <w:r>
          <w:rPr>
            <w:rStyle w:val="Hyperlink"/>
            <w:rFonts w:ascii="Arial" w:hAnsi="Arial" w:cs="Arial"/>
          </w:rPr>
          <w:t>Medicines and medical gases storage protocol</w:t>
        </w:r>
      </w:hyperlink>
    </w:p>
    <w:p w14:paraId="164C0146" w14:textId="77777777" w:rsidR="00B52E44" w:rsidRDefault="00000000">
      <w:pPr>
        <w:pStyle w:val="Heading2"/>
        <w:rPr>
          <w:rFonts w:ascii="Arial" w:hAnsi="Arial" w:cs="Arial"/>
          <w:smallCaps w:val="0"/>
          <w:sz w:val="24"/>
          <w:szCs w:val="24"/>
          <w:lang w:val="en-GB"/>
        </w:rPr>
      </w:pPr>
      <w:bookmarkStart w:id="55" w:name="_Toc95406512"/>
      <w:bookmarkStart w:id="56" w:name="_Toc95476095"/>
      <w:bookmarkStart w:id="57" w:name="_Toc95468830"/>
      <w:bookmarkStart w:id="58" w:name="_Toc95468749"/>
      <w:bookmarkStart w:id="59" w:name="_Toc95468664"/>
      <w:bookmarkStart w:id="60" w:name="_Toc95468580"/>
      <w:bookmarkStart w:id="61" w:name="_Toc95407572"/>
      <w:bookmarkStart w:id="62" w:name="_Toc95406520"/>
      <w:bookmarkStart w:id="63" w:name="_Toc95476094"/>
      <w:bookmarkStart w:id="64" w:name="_Toc95468829"/>
      <w:bookmarkStart w:id="65" w:name="_Toc95468748"/>
      <w:bookmarkStart w:id="66" w:name="_Toc95468663"/>
      <w:bookmarkStart w:id="67" w:name="_Toc95468579"/>
      <w:bookmarkStart w:id="68" w:name="_Toc95407571"/>
      <w:bookmarkStart w:id="69" w:name="_Toc95406519"/>
      <w:bookmarkStart w:id="70" w:name="_Toc95476093"/>
      <w:bookmarkStart w:id="71" w:name="_Toc95468828"/>
      <w:bookmarkStart w:id="72" w:name="_Toc95468747"/>
      <w:bookmarkStart w:id="73" w:name="_Toc95468662"/>
      <w:bookmarkStart w:id="74" w:name="_Toc95468578"/>
      <w:bookmarkStart w:id="75" w:name="_Toc95407570"/>
      <w:bookmarkStart w:id="76" w:name="_Toc95406518"/>
      <w:bookmarkStart w:id="77" w:name="_Toc95476092"/>
      <w:bookmarkStart w:id="78" w:name="_Toc95468827"/>
      <w:bookmarkStart w:id="79" w:name="_Toc95468746"/>
      <w:bookmarkStart w:id="80" w:name="_Toc95468661"/>
      <w:bookmarkStart w:id="81" w:name="_Toc95468577"/>
      <w:bookmarkStart w:id="82" w:name="_Toc95407569"/>
      <w:bookmarkStart w:id="83" w:name="_Toc95406517"/>
      <w:bookmarkStart w:id="84" w:name="_Toc95476091"/>
      <w:bookmarkStart w:id="85" w:name="_Toc95468826"/>
      <w:bookmarkStart w:id="86" w:name="_Toc95468745"/>
      <w:bookmarkStart w:id="87" w:name="_Toc95468660"/>
      <w:bookmarkStart w:id="88" w:name="_Toc95468576"/>
      <w:bookmarkStart w:id="89" w:name="_Toc95407568"/>
      <w:bookmarkStart w:id="90" w:name="_Toc95406516"/>
      <w:bookmarkStart w:id="91" w:name="_Toc95476090"/>
      <w:bookmarkStart w:id="92" w:name="_Toc95468825"/>
      <w:bookmarkStart w:id="93" w:name="_Toc95468744"/>
      <w:bookmarkStart w:id="94" w:name="_Toc95468659"/>
      <w:bookmarkStart w:id="95" w:name="_Toc95468575"/>
      <w:bookmarkStart w:id="96" w:name="_Toc95407567"/>
      <w:bookmarkStart w:id="97" w:name="_Toc95406515"/>
      <w:bookmarkStart w:id="98" w:name="_Toc95476089"/>
      <w:bookmarkStart w:id="99" w:name="_Toc95468824"/>
      <w:bookmarkStart w:id="100" w:name="_Toc95468743"/>
      <w:bookmarkStart w:id="101" w:name="_Toc95468658"/>
      <w:bookmarkStart w:id="102" w:name="_Toc95468574"/>
      <w:bookmarkStart w:id="103" w:name="_Toc95407566"/>
      <w:bookmarkStart w:id="104" w:name="_Toc95406514"/>
      <w:bookmarkStart w:id="105" w:name="_Toc95476087"/>
      <w:bookmarkStart w:id="106" w:name="_Toc95468822"/>
      <w:bookmarkStart w:id="107" w:name="_Toc95468741"/>
      <w:bookmarkStart w:id="108" w:name="_Toc95468656"/>
      <w:bookmarkStart w:id="109" w:name="_Toc95468572"/>
      <w:bookmarkStart w:id="110" w:name="_Toc95407564"/>
      <w:bookmarkStart w:id="111" w:name="_Toc11993025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ascii="Arial" w:hAnsi="Arial" w:cs="Arial"/>
          <w:smallCaps w:val="0"/>
          <w:sz w:val="24"/>
          <w:szCs w:val="24"/>
          <w:lang w:val="en-GB"/>
        </w:rPr>
        <w:t>Defibrillators</w:t>
      </w:r>
      <w:bookmarkEnd w:id="111"/>
    </w:p>
    <w:p w14:paraId="7CD99B50" w14:textId="77777777" w:rsidR="00B52E44" w:rsidRDefault="00B52E44">
      <w:pPr>
        <w:rPr>
          <w:rFonts w:ascii="Arial" w:hAnsi="Arial" w:cs="Arial"/>
        </w:rPr>
      </w:pPr>
    </w:p>
    <w:p w14:paraId="432857CE" w14:textId="77777777" w:rsidR="00B52E44" w:rsidRDefault="00000000">
      <w:r>
        <w:rPr>
          <w:rFonts w:ascii="Arial" w:hAnsi="Arial" w:cs="Arial"/>
        </w:rPr>
        <w:t xml:space="preserve">Refer to </w:t>
      </w:r>
      <w:hyperlink r:id="rId53">
        <w:r>
          <w:rPr>
            <w:rStyle w:val="Hyperlink"/>
            <w:rFonts w:ascii="Arial" w:hAnsi="Arial" w:cs="Arial"/>
          </w:rPr>
          <w:t xml:space="preserve">GP </w:t>
        </w:r>
        <w:proofErr w:type="spellStart"/>
        <w:r>
          <w:rPr>
            <w:rStyle w:val="Hyperlink"/>
            <w:rFonts w:ascii="Arial" w:hAnsi="Arial" w:cs="Arial"/>
          </w:rPr>
          <w:t>Mythbuster</w:t>
        </w:r>
        <w:proofErr w:type="spellEnd"/>
        <w:r>
          <w:rPr>
            <w:rStyle w:val="Hyperlink"/>
            <w:rFonts w:ascii="Arial" w:hAnsi="Arial" w:cs="Arial"/>
          </w:rPr>
          <w:t xml:space="preserve"> 1: Resuscitation in GP Surgeries</w:t>
        </w:r>
      </w:hyperlink>
      <w:r>
        <w:rPr>
          <w:rFonts w:ascii="Arial" w:hAnsi="Arial" w:cs="Arial"/>
        </w:rPr>
        <w:t>, as this provides detailed advice on the need for an automated external defibrillator (AED) coupled with the adhesive defibrillator pads and the requirement to retain a spare set of pads as a response to a cardiac arrest.</w:t>
      </w:r>
    </w:p>
    <w:p w14:paraId="7DBD4A88" w14:textId="77777777" w:rsidR="00B52E44" w:rsidRDefault="00B52E44">
      <w:pPr>
        <w:rPr>
          <w:rFonts w:ascii="Arial" w:hAnsi="Arial" w:cs="Arial"/>
        </w:rPr>
      </w:pPr>
    </w:p>
    <w:p w14:paraId="61E1354C" w14:textId="77777777" w:rsidR="00B52E44" w:rsidRDefault="00000000">
      <w:pPr>
        <w:rPr>
          <w:rFonts w:ascii="Arial" w:hAnsi="Arial" w:cs="Arial"/>
        </w:rPr>
      </w:pPr>
      <w:r>
        <w:rPr>
          <w:rFonts w:ascii="Arial" w:hAnsi="Arial" w:cs="Arial"/>
        </w:rPr>
        <w:t>When checking, it should be noted that AED pads have a shelf-life of approximately 18 months, whereas the battery life is four years from date of manufacture. Routine checks should be regularly conducted and note that the packaging for the pads can easily deteriorate.</w:t>
      </w:r>
    </w:p>
    <w:p w14:paraId="17C6820C" w14:textId="77777777" w:rsidR="00B52E44" w:rsidRDefault="00B52E44">
      <w:pPr>
        <w:rPr>
          <w:rFonts w:ascii="Arial" w:hAnsi="Arial" w:cs="Arial"/>
        </w:rPr>
      </w:pPr>
    </w:p>
    <w:p w14:paraId="3577CD3E" w14:textId="77777777" w:rsidR="00B52E44" w:rsidRDefault="00000000">
      <w:pPr>
        <w:rPr>
          <w:rFonts w:ascii="Arial" w:hAnsi="Arial" w:cs="Arial"/>
        </w:rPr>
      </w:pPr>
      <w:r>
        <w:rPr>
          <w:rFonts w:ascii="Arial" w:hAnsi="Arial" w:cs="Arial"/>
        </w:rPr>
        <w:t>AED pads should be able to be used for both adults and paediatrics.</w:t>
      </w:r>
    </w:p>
    <w:p w14:paraId="500996EB" w14:textId="77777777" w:rsidR="00B52E44" w:rsidRDefault="00000000">
      <w:r>
        <w:rPr>
          <w:rFonts w:ascii="Arial" w:hAnsi="Arial" w:cs="Arial"/>
        </w:rPr>
        <w:t xml:space="preserve">Further reading can be sought from RCUK </w:t>
      </w:r>
      <w:hyperlink r:id="rId54">
        <w:r>
          <w:rPr>
            <w:rStyle w:val="Hyperlink"/>
            <w:rFonts w:ascii="Arial" w:hAnsi="Arial" w:cs="Arial"/>
          </w:rPr>
          <w:t>A guide to Automated External Defibrillators (AEDs)</w:t>
        </w:r>
      </w:hyperlink>
      <w:bookmarkStart w:id="112" w:name="_Toc95375855"/>
      <w:bookmarkStart w:id="113" w:name="_Toc95375792"/>
      <w:bookmarkStart w:id="114" w:name="_Toc95375710"/>
      <w:bookmarkStart w:id="115" w:name="_Toc95249504"/>
      <w:bookmarkStart w:id="116" w:name="_Toc95249092"/>
      <w:bookmarkStart w:id="117" w:name="_Toc95249028"/>
      <w:bookmarkEnd w:id="112"/>
      <w:bookmarkEnd w:id="113"/>
      <w:bookmarkEnd w:id="114"/>
      <w:bookmarkEnd w:id="115"/>
      <w:bookmarkEnd w:id="116"/>
      <w:bookmarkEnd w:id="117"/>
      <w:r>
        <w:rPr>
          <w:rFonts w:ascii="Arial" w:hAnsi="Arial" w:cs="Arial"/>
        </w:rPr>
        <w:t>.</w:t>
      </w:r>
    </w:p>
    <w:p w14:paraId="1AEF9595" w14:textId="77777777" w:rsidR="00B52E44" w:rsidRDefault="00000000">
      <w:pPr>
        <w:pStyle w:val="Heading2"/>
        <w:rPr>
          <w:rFonts w:ascii="Arial" w:hAnsi="Arial" w:cs="Arial"/>
          <w:smallCaps w:val="0"/>
          <w:sz w:val="24"/>
          <w:szCs w:val="22"/>
          <w:lang w:val="en-GB"/>
        </w:rPr>
      </w:pPr>
      <w:bookmarkStart w:id="118" w:name="_Emergency_drugs"/>
      <w:bookmarkStart w:id="119" w:name="_Toc119930251"/>
      <w:bookmarkEnd w:id="118"/>
      <w:r>
        <w:rPr>
          <w:rFonts w:ascii="Arial" w:hAnsi="Arial" w:cs="Arial"/>
          <w:smallCaps w:val="0"/>
          <w:sz w:val="24"/>
          <w:szCs w:val="22"/>
          <w:lang w:val="en-GB"/>
        </w:rPr>
        <w:t>Emergency drugs</w:t>
      </w:r>
      <w:bookmarkEnd w:id="119"/>
    </w:p>
    <w:p w14:paraId="744A314B" w14:textId="77777777" w:rsidR="00B52E44" w:rsidRDefault="00B52E44"/>
    <w:p w14:paraId="5D5204FA" w14:textId="5196C3C8" w:rsidR="00B52E44" w:rsidRDefault="00000000">
      <w:r>
        <w:rPr>
          <w:rFonts w:ascii="Arial" w:hAnsi="Arial" w:cs="Arial"/>
          <w:color w:val="000000"/>
        </w:rPr>
        <w:t xml:space="preserve">The monitoring of the emergency drugs and doctor’s bag are the responsibility of the </w:t>
      </w:r>
      <w:r w:rsidR="000B6F8A">
        <w:rPr>
          <w:rFonts w:ascii="Arial" w:hAnsi="Arial" w:cs="Arial"/>
          <w:color w:val="000000"/>
        </w:rPr>
        <w:t>Wendy Mayne (Practice Nurse)</w:t>
      </w:r>
      <w:r>
        <w:rPr>
          <w:rFonts w:ascii="Arial" w:hAnsi="Arial" w:cs="Arial"/>
          <w:color w:val="000000"/>
        </w:rPr>
        <w:t xml:space="preserve"> and are located </w:t>
      </w:r>
      <w:r w:rsidR="000B6F8A">
        <w:rPr>
          <w:rFonts w:ascii="Arial" w:hAnsi="Arial" w:cs="Arial"/>
          <w:color w:val="000000"/>
        </w:rPr>
        <w:t>in the Treatment Room</w:t>
      </w:r>
      <w:r>
        <w:rPr>
          <w:rFonts w:ascii="Arial" w:hAnsi="Arial" w:cs="Arial"/>
          <w:color w:val="000000"/>
        </w:rPr>
        <w:t>.</w:t>
      </w:r>
    </w:p>
    <w:p w14:paraId="2E95D90B" w14:textId="77777777" w:rsidR="00B52E44" w:rsidRDefault="00B52E44">
      <w:pPr>
        <w:rPr>
          <w:rFonts w:ascii="Arial" w:hAnsi="Arial" w:cs="Arial"/>
        </w:rPr>
      </w:pPr>
    </w:p>
    <w:tbl>
      <w:tblPr>
        <w:tblW w:w="4900" w:type="pct"/>
        <w:tblInd w:w="108" w:type="dxa"/>
        <w:tblLayout w:type="fixed"/>
        <w:tblLook w:val="0000" w:firstRow="0" w:lastRow="0" w:firstColumn="0" w:lastColumn="0" w:noHBand="0" w:noVBand="0"/>
      </w:tblPr>
      <w:tblGrid>
        <w:gridCol w:w="5097"/>
        <w:gridCol w:w="3039"/>
      </w:tblGrid>
      <w:tr w:rsidR="00B52E44" w14:paraId="451E520E" w14:textId="77777777">
        <w:trPr>
          <w:trHeight w:val="143"/>
        </w:trPr>
        <w:tc>
          <w:tcPr>
            <w:tcW w:w="5102" w:type="dxa"/>
            <w:tcBorders>
              <w:top w:val="single" w:sz="4" w:space="0" w:color="000000"/>
              <w:left w:val="single" w:sz="4" w:space="0" w:color="000000"/>
              <w:bottom w:val="single" w:sz="4" w:space="0" w:color="000000"/>
              <w:right w:val="single" w:sz="4" w:space="0" w:color="000000"/>
            </w:tcBorders>
            <w:shd w:val="clear" w:color="auto" w:fill="4472C4"/>
          </w:tcPr>
          <w:p w14:paraId="45B435E4" w14:textId="77777777" w:rsidR="00B52E44" w:rsidRDefault="00000000">
            <w:pPr>
              <w:pStyle w:val="NormalWeb"/>
              <w:widowControl w:val="0"/>
              <w:spacing w:before="120" w:after="120"/>
              <w:rPr>
                <w:rFonts w:ascii="Arial" w:eastAsia="Calibri" w:hAnsi="Arial" w:cs="Arial"/>
                <w:b/>
                <w:color w:val="FFFFFF"/>
                <w:lang w:eastAsia="en-US"/>
              </w:rPr>
            </w:pPr>
            <w:r>
              <w:rPr>
                <w:rFonts w:ascii="Arial" w:eastAsia="Calibri" w:hAnsi="Arial" w:cs="Arial"/>
                <w:b/>
                <w:color w:val="FFFFFF"/>
                <w:lang w:eastAsia="en-US"/>
              </w:rPr>
              <w:lastRenderedPageBreak/>
              <w:t>Drug</w:t>
            </w:r>
          </w:p>
        </w:tc>
        <w:tc>
          <w:tcPr>
            <w:tcW w:w="3042" w:type="dxa"/>
            <w:tcBorders>
              <w:top w:val="single" w:sz="4" w:space="0" w:color="000000"/>
              <w:left w:val="single" w:sz="4" w:space="0" w:color="000000"/>
              <w:bottom w:val="single" w:sz="4" w:space="0" w:color="000000"/>
              <w:right w:val="single" w:sz="4" w:space="0" w:color="000000"/>
            </w:tcBorders>
            <w:shd w:val="clear" w:color="auto" w:fill="4472C4"/>
          </w:tcPr>
          <w:p w14:paraId="2D843CD4" w14:textId="77777777" w:rsidR="00B52E44" w:rsidRDefault="00000000">
            <w:pPr>
              <w:pStyle w:val="NormalWeb"/>
              <w:widowControl w:val="0"/>
              <w:spacing w:before="120" w:after="120"/>
              <w:rPr>
                <w:rFonts w:ascii="Arial" w:eastAsia="Calibri" w:hAnsi="Arial" w:cs="Arial"/>
                <w:b/>
                <w:color w:val="FFFFFF"/>
                <w:sz w:val="22"/>
                <w:szCs w:val="22"/>
                <w:lang w:eastAsia="en-US"/>
              </w:rPr>
            </w:pPr>
            <w:r>
              <w:rPr>
                <w:rFonts w:ascii="Arial" w:eastAsia="Calibri" w:hAnsi="Arial" w:cs="Arial"/>
                <w:b/>
                <w:color w:val="FFFFFF"/>
                <w:sz w:val="22"/>
                <w:szCs w:val="22"/>
                <w:lang w:eastAsia="en-US"/>
              </w:rPr>
              <w:t>Indication</w:t>
            </w:r>
          </w:p>
        </w:tc>
      </w:tr>
      <w:tr w:rsidR="00B52E44" w14:paraId="0615B6C4" w14:textId="77777777">
        <w:tc>
          <w:tcPr>
            <w:tcW w:w="5102" w:type="dxa"/>
            <w:tcBorders>
              <w:top w:val="single" w:sz="4" w:space="0" w:color="000000"/>
              <w:left w:val="single" w:sz="4" w:space="0" w:color="000000"/>
              <w:bottom w:val="single" w:sz="4" w:space="0" w:color="000000"/>
              <w:right w:val="single" w:sz="4" w:space="0" w:color="000000"/>
            </w:tcBorders>
          </w:tcPr>
          <w:p w14:paraId="373EB00A"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Adrenaline for injection</w:t>
            </w:r>
            <w:r>
              <w:rPr>
                <w:rFonts w:ascii="Arial" w:hAnsi="Arial" w:cs="Arial"/>
                <w:color w:val="3E3E35"/>
                <w:sz w:val="22"/>
                <w:szCs w:val="22"/>
              </w:rPr>
              <w:t xml:space="preserve"> </w:t>
            </w:r>
          </w:p>
        </w:tc>
        <w:tc>
          <w:tcPr>
            <w:tcW w:w="3042" w:type="dxa"/>
            <w:tcBorders>
              <w:top w:val="single" w:sz="4" w:space="0" w:color="000000"/>
              <w:left w:val="single" w:sz="4" w:space="0" w:color="000000"/>
              <w:bottom w:val="single" w:sz="4" w:space="0" w:color="000000"/>
              <w:right w:val="single" w:sz="4" w:space="0" w:color="000000"/>
            </w:tcBorders>
          </w:tcPr>
          <w:p w14:paraId="7AF43803"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Anaphylaxis or acute angio-oedema</w:t>
            </w:r>
          </w:p>
        </w:tc>
      </w:tr>
      <w:tr w:rsidR="00B52E44" w14:paraId="74D65E65" w14:textId="77777777">
        <w:tc>
          <w:tcPr>
            <w:tcW w:w="5102" w:type="dxa"/>
            <w:tcBorders>
              <w:top w:val="single" w:sz="4" w:space="0" w:color="000000"/>
              <w:left w:val="single" w:sz="4" w:space="0" w:color="000000"/>
              <w:bottom w:val="single" w:sz="4" w:space="0" w:color="000000"/>
              <w:right w:val="single" w:sz="4" w:space="0" w:color="000000"/>
            </w:tcBorders>
          </w:tcPr>
          <w:p w14:paraId="0A11316F"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Antiemetic such as cyclizine, metoclopramide or prochlorperazine</w:t>
            </w:r>
          </w:p>
        </w:tc>
        <w:tc>
          <w:tcPr>
            <w:tcW w:w="3042" w:type="dxa"/>
            <w:tcBorders>
              <w:top w:val="single" w:sz="4" w:space="0" w:color="000000"/>
              <w:left w:val="single" w:sz="4" w:space="0" w:color="000000"/>
              <w:bottom w:val="single" w:sz="4" w:space="0" w:color="000000"/>
              <w:right w:val="single" w:sz="4" w:space="0" w:color="000000"/>
            </w:tcBorders>
          </w:tcPr>
          <w:p w14:paraId="50A21397"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Nausea and vomiting</w:t>
            </w:r>
          </w:p>
        </w:tc>
      </w:tr>
      <w:tr w:rsidR="00B52E44" w14:paraId="674E2AE5" w14:textId="77777777">
        <w:tc>
          <w:tcPr>
            <w:tcW w:w="5102" w:type="dxa"/>
            <w:tcBorders>
              <w:top w:val="single" w:sz="4" w:space="0" w:color="000000"/>
              <w:left w:val="single" w:sz="4" w:space="0" w:color="000000"/>
              <w:bottom w:val="single" w:sz="4" w:space="0" w:color="000000"/>
              <w:right w:val="single" w:sz="4" w:space="0" w:color="000000"/>
            </w:tcBorders>
          </w:tcPr>
          <w:p w14:paraId="5EF04106"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Aspirin soluble tablets</w:t>
            </w:r>
          </w:p>
        </w:tc>
        <w:tc>
          <w:tcPr>
            <w:tcW w:w="3042" w:type="dxa"/>
            <w:tcBorders>
              <w:top w:val="single" w:sz="4" w:space="0" w:color="000000"/>
              <w:left w:val="single" w:sz="4" w:space="0" w:color="000000"/>
              <w:bottom w:val="single" w:sz="4" w:space="0" w:color="000000"/>
              <w:right w:val="single" w:sz="4" w:space="0" w:color="000000"/>
            </w:tcBorders>
          </w:tcPr>
          <w:p w14:paraId="41FB7898"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Suspected myocardial infarction</w:t>
            </w:r>
          </w:p>
        </w:tc>
      </w:tr>
      <w:tr w:rsidR="00B52E44" w14:paraId="434DDA92" w14:textId="77777777">
        <w:tc>
          <w:tcPr>
            <w:tcW w:w="5102" w:type="dxa"/>
            <w:tcBorders>
              <w:top w:val="single" w:sz="4" w:space="0" w:color="000000"/>
              <w:left w:val="single" w:sz="4" w:space="0" w:color="000000"/>
              <w:bottom w:val="single" w:sz="4" w:space="0" w:color="000000"/>
              <w:right w:val="single" w:sz="4" w:space="0" w:color="000000"/>
            </w:tcBorders>
          </w:tcPr>
          <w:p w14:paraId="3CD07E90"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Atropine (for practices that fit coils or where minor surgery is performed)</w:t>
            </w:r>
          </w:p>
        </w:tc>
        <w:tc>
          <w:tcPr>
            <w:tcW w:w="3042" w:type="dxa"/>
            <w:tcBorders>
              <w:top w:val="single" w:sz="4" w:space="0" w:color="000000"/>
              <w:left w:val="single" w:sz="4" w:space="0" w:color="000000"/>
              <w:bottom w:val="single" w:sz="4" w:space="0" w:color="000000"/>
              <w:right w:val="single" w:sz="4" w:space="0" w:color="000000"/>
            </w:tcBorders>
          </w:tcPr>
          <w:p w14:paraId="25943F51"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Bradycardia</w:t>
            </w:r>
          </w:p>
        </w:tc>
      </w:tr>
      <w:tr w:rsidR="00B52E44" w14:paraId="0B4BED86" w14:textId="77777777">
        <w:tc>
          <w:tcPr>
            <w:tcW w:w="5102" w:type="dxa"/>
            <w:tcBorders>
              <w:top w:val="single" w:sz="4" w:space="0" w:color="000000"/>
              <w:left w:val="single" w:sz="4" w:space="0" w:color="000000"/>
              <w:bottom w:val="single" w:sz="4" w:space="0" w:color="000000"/>
              <w:right w:val="single" w:sz="4" w:space="0" w:color="000000"/>
            </w:tcBorders>
          </w:tcPr>
          <w:p w14:paraId="1CC6EC35"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Benzylpenicillin for injection</w:t>
            </w:r>
            <w:r>
              <w:rPr>
                <w:rFonts w:ascii="Arial" w:hAnsi="Arial" w:cs="Arial"/>
                <w:color w:val="3E3E35"/>
                <w:sz w:val="22"/>
                <w:szCs w:val="22"/>
              </w:rPr>
              <w:t xml:space="preserve"> </w:t>
            </w:r>
          </w:p>
        </w:tc>
        <w:tc>
          <w:tcPr>
            <w:tcW w:w="3042" w:type="dxa"/>
            <w:tcBorders>
              <w:top w:val="single" w:sz="4" w:space="0" w:color="000000"/>
              <w:left w:val="single" w:sz="4" w:space="0" w:color="000000"/>
              <w:bottom w:val="single" w:sz="4" w:space="0" w:color="000000"/>
              <w:right w:val="single" w:sz="4" w:space="0" w:color="000000"/>
            </w:tcBorders>
          </w:tcPr>
          <w:p w14:paraId="16606694"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Suspected bacterial meningitis</w:t>
            </w:r>
          </w:p>
        </w:tc>
      </w:tr>
      <w:tr w:rsidR="00B52E44" w14:paraId="2DD0234C" w14:textId="77777777">
        <w:tc>
          <w:tcPr>
            <w:tcW w:w="5102" w:type="dxa"/>
            <w:tcBorders>
              <w:top w:val="single" w:sz="4" w:space="0" w:color="000000"/>
              <w:left w:val="single" w:sz="4" w:space="0" w:color="000000"/>
              <w:bottom w:val="single" w:sz="4" w:space="0" w:color="000000"/>
              <w:right w:val="single" w:sz="4" w:space="0" w:color="000000"/>
            </w:tcBorders>
          </w:tcPr>
          <w:p w14:paraId="7AE3D22B"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Chlorphenamine for injection</w:t>
            </w:r>
            <w:r>
              <w:rPr>
                <w:rFonts w:ascii="Arial" w:hAnsi="Arial" w:cs="Arial"/>
                <w:color w:val="3E3E35"/>
                <w:sz w:val="22"/>
                <w:szCs w:val="22"/>
              </w:rPr>
              <w:t xml:space="preserve"> </w:t>
            </w:r>
          </w:p>
        </w:tc>
        <w:tc>
          <w:tcPr>
            <w:tcW w:w="3042" w:type="dxa"/>
            <w:tcBorders>
              <w:top w:val="single" w:sz="4" w:space="0" w:color="000000"/>
              <w:left w:val="single" w:sz="4" w:space="0" w:color="000000"/>
              <w:bottom w:val="single" w:sz="4" w:space="0" w:color="000000"/>
              <w:right w:val="single" w:sz="4" w:space="0" w:color="000000"/>
            </w:tcBorders>
          </w:tcPr>
          <w:p w14:paraId="1102A712"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Anaphylaxis or acute angio-oedema</w:t>
            </w:r>
          </w:p>
        </w:tc>
      </w:tr>
      <w:tr w:rsidR="00B52E44" w14:paraId="11D81500" w14:textId="77777777">
        <w:tc>
          <w:tcPr>
            <w:tcW w:w="5102" w:type="dxa"/>
            <w:tcBorders>
              <w:top w:val="single" w:sz="4" w:space="0" w:color="000000"/>
              <w:left w:val="single" w:sz="4" w:space="0" w:color="000000"/>
              <w:bottom w:val="single" w:sz="4" w:space="0" w:color="000000"/>
              <w:right w:val="single" w:sz="4" w:space="0" w:color="000000"/>
            </w:tcBorders>
          </w:tcPr>
          <w:p w14:paraId="24E6F892"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Dexamethasone 5mg/2.5ml oral solution</w:t>
            </w:r>
          </w:p>
          <w:p w14:paraId="4BDACA56"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Requires date opened sticker and new expiry once seal broken (or soluble prednisolone – NOTE off-label use)</w:t>
            </w:r>
          </w:p>
        </w:tc>
        <w:tc>
          <w:tcPr>
            <w:tcW w:w="3042" w:type="dxa"/>
            <w:tcBorders>
              <w:top w:val="single" w:sz="4" w:space="0" w:color="000000"/>
              <w:left w:val="single" w:sz="4" w:space="0" w:color="000000"/>
              <w:bottom w:val="single" w:sz="4" w:space="0" w:color="000000"/>
              <w:right w:val="single" w:sz="4" w:space="0" w:color="000000"/>
            </w:tcBorders>
          </w:tcPr>
          <w:p w14:paraId="23912228"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Croup (children)</w:t>
            </w:r>
          </w:p>
        </w:tc>
      </w:tr>
      <w:tr w:rsidR="00B52E44" w14:paraId="02329FFA" w14:textId="77777777">
        <w:tc>
          <w:tcPr>
            <w:tcW w:w="5102" w:type="dxa"/>
            <w:tcBorders>
              <w:top w:val="single" w:sz="4" w:space="0" w:color="000000"/>
              <w:left w:val="single" w:sz="4" w:space="0" w:color="000000"/>
              <w:bottom w:val="single" w:sz="4" w:space="0" w:color="000000"/>
              <w:right w:val="single" w:sz="4" w:space="0" w:color="000000"/>
            </w:tcBorders>
          </w:tcPr>
          <w:p w14:paraId="29AA6AE2"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 xml:space="preserve">Diclofenac (intramuscular injection) </w:t>
            </w:r>
          </w:p>
        </w:tc>
        <w:tc>
          <w:tcPr>
            <w:tcW w:w="3042" w:type="dxa"/>
            <w:tcBorders>
              <w:top w:val="single" w:sz="4" w:space="0" w:color="000000"/>
              <w:left w:val="single" w:sz="4" w:space="0" w:color="000000"/>
              <w:bottom w:val="single" w:sz="4" w:space="0" w:color="000000"/>
              <w:right w:val="single" w:sz="4" w:space="0" w:color="000000"/>
            </w:tcBorders>
          </w:tcPr>
          <w:p w14:paraId="09D31754"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Analgesia</w:t>
            </w:r>
          </w:p>
        </w:tc>
      </w:tr>
      <w:tr w:rsidR="00B52E44" w14:paraId="7A71FE0D" w14:textId="77777777">
        <w:tc>
          <w:tcPr>
            <w:tcW w:w="5102" w:type="dxa"/>
            <w:tcBorders>
              <w:top w:val="single" w:sz="4" w:space="0" w:color="000000"/>
              <w:left w:val="single" w:sz="4" w:space="0" w:color="000000"/>
              <w:bottom w:val="single" w:sz="4" w:space="0" w:color="000000"/>
              <w:right w:val="single" w:sz="4" w:space="0" w:color="000000"/>
            </w:tcBorders>
          </w:tcPr>
          <w:p w14:paraId="6B2FDE9C"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Furosemide</w:t>
            </w:r>
          </w:p>
        </w:tc>
        <w:tc>
          <w:tcPr>
            <w:tcW w:w="3042" w:type="dxa"/>
            <w:tcBorders>
              <w:top w:val="single" w:sz="4" w:space="0" w:color="000000"/>
              <w:left w:val="single" w:sz="4" w:space="0" w:color="000000"/>
              <w:bottom w:val="single" w:sz="4" w:space="0" w:color="000000"/>
              <w:right w:val="single" w:sz="4" w:space="0" w:color="000000"/>
            </w:tcBorders>
          </w:tcPr>
          <w:p w14:paraId="267BE7A2"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Left ventricular failure</w:t>
            </w:r>
          </w:p>
        </w:tc>
      </w:tr>
      <w:tr w:rsidR="00B52E44" w14:paraId="1561C6BF" w14:textId="77777777">
        <w:tc>
          <w:tcPr>
            <w:tcW w:w="5102" w:type="dxa"/>
            <w:tcBorders>
              <w:top w:val="single" w:sz="4" w:space="0" w:color="000000"/>
              <w:left w:val="single" w:sz="4" w:space="0" w:color="000000"/>
              <w:bottom w:val="single" w:sz="4" w:space="0" w:color="000000"/>
              <w:right w:val="single" w:sz="4" w:space="0" w:color="000000"/>
            </w:tcBorders>
          </w:tcPr>
          <w:p w14:paraId="022C2E84"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 xml:space="preserve">Glucagon (needs refrigeration) </w:t>
            </w:r>
          </w:p>
          <w:p w14:paraId="74011FBE" w14:textId="77777777" w:rsidR="00B52E44" w:rsidRDefault="00B52E44">
            <w:pPr>
              <w:pStyle w:val="NormalWeb"/>
              <w:widowControl w:val="0"/>
              <w:spacing w:before="120" w:after="120"/>
              <w:rPr>
                <w:rFonts w:ascii="Arial" w:hAnsi="Arial" w:cs="Arial"/>
                <w:sz w:val="22"/>
                <w:szCs w:val="22"/>
              </w:rPr>
            </w:pPr>
          </w:p>
          <w:p w14:paraId="6A2BB927" w14:textId="77777777" w:rsidR="00B52E44" w:rsidRDefault="00000000">
            <w:pPr>
              <w:pStyle w:val="NormalWeb"/>
              <w:widowControl w:val="0"/>
              <w:spacing w:before="120" w:after="120"/>
              <w:rPr>
                <w:rFonts w:ascii="Arial" w:hAnsi="Arial" w:cs="Arial"/>
                <w:sz w:val="22"/>
                <w:szCs w:val="22"/>
              </w:rPr>
            </w:pPr>
            <w:proofErr w:type="spellStart"/>
            <w:r>
              <w:rPr>
                <w:rFonts w:ascii="Arial" w:hAnsi="Arial" w:cs="Arial"/>
                <w:sz w:val="22"/>
                <w:szCs w:val="22"/>
              </w:rPr>
              <w:t>GlucaGen</w:t>
            </w:r>
            <w:proofErr w:type="spellEnd"/>
            <w:r>
              <w:rPr>
                <w:rFonts w:ascii="Arial" w:hAnsi="Arial" w:cs="Arial"/>
                <w:sz w:val="22"/>
                <w:szCs w:val="22"/>
              </w:rPr>
              <w:t xml:space="preserve">® </w:t>
            </w:r>
            <w:proofErr w:type="spellStart"/>
            <w:r>
              <w:rPr>
                <w:rFonts w:ascii="Arial" w:hAnsi="Arial" w:cs="Arial"/>
                <w:sz w:val="22"/>
                <w:szCs w:val="22"/>
              </w:rPr>
              <w:t>Hypokit</w:t>
            </w:r>
            <w:proofErr w:type="spellEnd"/>
            <w:r>
              <w:rPr>
                <w:rFonts w:ascii="Arial" w:hAnsi="Arial" w:cs="Arial"/>
                <w:sz w:val="22"/>
                <w:szCs w:val="22"/>
              </w:rPr>
              <w:t xml:space="preserve">® has an 18-month expiry out of fridge – should be labelled with new expiry date) </w:t>
            </w:r>
          </w:p>
          <w:p w14:paraId="2A6B0B20"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 xml:space="preserve">Or alternative medicine to treat hypoglycaemia </w:t>
            </w:r>
          </w:p>
        </w:tc>
        <w:tc>
          <w:tcPr>
            <w:tcW w:w="3042" w:type="dxa"/>
            <w:tcBorders>
              <w:top w:val="single" w:sz="4" w:space="0" w:color="000000"/>
              <w:left w:val="single" w:sz="4" w:space="0" w:color="000000"/>
              <w:bottom w:val="single" w:sz="4" w:space="0" w:color="000000"/>
              <w:right w:val="single" w:sz="4" w:space="0" w:color="000000"/>
            </w:tcBorders>
          </w:tcPr>
          <w:p w14:paraId="67968B10"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Hypoglycaemia</w:t>
            </w:r>
          </w:p>
        </w:tc>
      </w:tr>
      <w:tr w:rsidR="00B52E44" w14:paraId="79DF42C2" w14:textId="77777777">
        <w:tc>
          <w:tcPr>
            <w:tcW w:w="5102" w:type="dxa"/>
            <w:tcBorders>
              <w:top w:val="single" w:sz="4" w:space="0" w:color="000000"/>
              <w:left w:val="single" w:sz="4" w:space="0" w:color="000000"/>
              <w:bottom w:val="single" w:sz="4" w:space="0" w:color="000000"/>
              <w:right w:val="single" w:sz="4" w:space="0" w:color="000000"/>
            </w:tcBorders>
          </w:tcPr>
          <w:p w14:paraId="6312505F"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Glyceryl trinitrate (GTN) spray or unopened in date GTN sublingual tablets</w:t>
            </w:r>
          </w:p>
        </w:tc>
        <w:tc>
          <w:tcPr>
            <w:tcW w:w="3042" w:type="dxa"/>
            <w:tcBorders>
              <w:top w:val="single" w:sz="4" w:space="0" w:color="000000"/>
              <w:left w:val="single" w:sz="4" w:space="0" w:color="000000"/>
              <w:bottom w:val="single" w:sz="4" w:space="0" w:color="000000"/>
              <w:right w:val="single" w:sz="4" w:space="0" w:color="000000"/>
            </w:tcBorders>
          </w:tcPr>
          <w:p w14:paraId="50A23530"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Chest pain of possible cardiac origin</w:t>
            </w:r>
          </w:p>
        </w:tc>
      </w:tr>
      <w:tr w:rsidR="00B52E44" w14:paraId="3ACD471B" w14:textId="77777777">
        <w:tc>
          <w:tcPr>
            <w:tcW w:w="5102" w:type="dxa"/>
            <w:tcBorders>
              <w:top w:val="single" w:sz="4" w:space="0" w:color="000000"/>
              <w:left w:val="single" w:sz="4" w:space="0" w:color="000000"/>
              <w:bottom w:val="single" w:sz="4" w:space="0" w:color="000000"/>
              <w:right w:val="single" w:sz="4" w:space="0" w:color="000000"/>
            </w:tcBorders>
          </w:tcPr>
          <w:p w14:paraId="051101E5"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Hydrocortisone for injection and/or soluble prednisolone</w:t>
            </w:r>
          </w:p>
        </w:tc>
        <w:tc>
          <w:tcPr>
            <w:tcW w:w="3042" w:type="dxa"/>
            <w:tcBorders>
              <w:top w:val="single" w:sz="4" w:space="0" w:color="000000"/>
              <w:left w:val="single" w:sz="4" w:space="0" w:color="000000"/>
              <w:bottom w:val="single" w:sz="4" w:space="0" w:color="000000"/>
              <w:right w:val="single" w:sz="4" w:space="0" w:color="000000"/>
            </w:tcBorders>
          </w:tcPr>
          <w:p w14:paraId="78825394"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Exacerbations of asthma, severe or recurrent anaphylaxis</w:t>
            </w:r>
          </w:p>
        </w:tc>
      </w:tr>
      <w:tr w:rsidR="00B52E44" w14:paraId="096082DE" w14:textId="77777777">
        <w:tc>
          <w:tcPr>
            <w:tcW w:w="5102" w:type="dxa"/>
            <w:tcBorders>
              <w:top w:val="single" w:sz="4" w:space="0" w:color="000000"/>
              <w:left w:val="single" w:sz="4" w:space="0" w:color="000000"/>
              <w:bottom w:val="single" w:sz="4" w:space="0" w:color="000000"/>
              <w:right w:val="single" w:sz="4" w:space="0" w:color="000000"/>
            </w:tcBorders>
          </w:tcPr>
          <w:p w14:paraId="702DB7D7"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Midazolam (buccal) or diazepam (rectal)</w:t>
            </w:r>
          </w:p>
        </w:tc>
        <w:tc>
          <w:tcPr>
            <w:tcW w:w="3042" w:type="dxa"/>
            <w:tcBorders>
              <w:top w:val="single" w:sz="4" w:space="0" w:color="000000"/>
              <w:left w:val="single" w:sz="4" w:space="0" w:color="000000"/>
              <w:bottom w:val="single" w:sz="4" w:space="0" w:color="000000"/>
              <w:right w:val="single" w:sz="4" w:space="0" w:color="000000"/>
            </w:tcBorders>
          </w:tcPr>
          <w:p w14:paraId="24F29590"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Epileptic fit</w:t>
            </w:r>
          </w:p>
        </w:tc>
      </w:tr>
      <w:tr w:rsidR="00B52E44" w14:paraId="29281E1C" w14:textId="77777777">
        <w:tc>
          <w:tcPr>
            <w:tcW w:w="5102" w:type="dxa"/>
            <w:tcBorders>
              <w:top w:val="single" w:sz="4" w:space="0" w:color="000000"/>
              <w:left w:val="single" w:sz="4" w:space="0" w:color="000000"/>
              <w:bottom w:val="single" w:sz="4" w:space="0" w:color="000000"/>
              <w:right w:val="single" w:sz="4" w:space="0" w:color="000000"/>
            </w:tcBorders>
            <w:vAlign w:val="center"/>
          </w:tcPr>
          <w:p w14:paraId="5689320C" w14:textId="77777777" w:rsidR="00B52E44" w:rsidRDefault="00000000">
            <w:pPr>
              <w:widowControl w:val="0"/>
              <w:spacing w:before="120" w:after="120"/>
              <w:rPr>
                <w:rFonts w:ascii="Arial" w:eastAsia="Times New Roman" w:hAnsi="Arial" w:cs="Arial"/>
                <w:lang w:eastAsia="en-GB"/>
              </w:rPr>
            </w:pPr>
            <w:r>
              <w:rPr>
                <w:rFonts w:ascii="Arial" w:eastAsia="Times New Roman" w:hAnsi="Arial" w:cs="Arial"/>
                <w:lang w:eastAsia="en-GB"/>
              </w:rPr>
              <w:t>Naloxone (dependent on whether opiates are kept at the practice)</w:t>
            </w:r>
          </w:p>
        </w:tc>
        <w:tc>
          <w:tcPr>
            <w:tcW w:w="3042" w:type="dxa"/>
            <w:tcBorders>
              <w:top w:val="single" w:sz="4" w:space="0" w:color="000000"/>
              <w:left w:val="single" w:sz="4" w:space="0" w:color="000000"/>
              <w:bottom w:val="single" w:sz="4" w:space="0" w:color="000000"/>
              <w:right w:val="single" w:sz="4" w:space="0" w:color="000000"/>
            </w:tcBorders>
          </w:tcPr>
          <w:p w14:paraId="6851E76D"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Opioid overdose</w:t>
            </w:r>
          </w:p>
        </w:tc>
      </w:tr>
      <w:tr w:rsidR="00B52E44" w14:paraId="277E4439" w14:textId="77777777">
        <w:tc>
          <w:tcPr>
            <w:tcW w:w="5102" w:type="dxa"/>
            <w:tcBorders>
              <w:top w:val="single" w:sz="4" w:space="0" w:color="000000"/>
              <w:left w:val="single" w:sz="4" w:space="0" w:color="000000"/>
              <w:bottom w:val="single" w:sz="4" w:space="0" w:color="000000"/>
              <w:right w:val="single" w:sz="4" w:space="0" w:color="000000"/>
            </w:tcBorders>
          </w:tcPr>
          <w:p w14:paraId="0317E607"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 xml:space="preserve">Opiates – diamorphine, morphine or pethidine ampoules for injection. </w:t>
            </w:r>
          </w:p>
          <w:p w14:paraId="46E04374"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 xml:space="preserve">(Water for injection may be required to </w:t>
            </w:r>
            <w:r>
              <w:rPr>
                <w:rFonts w:ascii="Arial" w:hAnsi="Arial" w:cs="Arial"/>
                <w:sz w:val="22"/>
                <w:szCs w:val="22"/>
              </w:rPr>
              <w:lastRenderedPageBreak/>
              <w:t>reconstitute)</w:t>
            </w:r>
          </w:p>
        </w:tc>
        <w:tc>
          <w:tcPr>
            <w:tcW w:w="3042" w:type="dxa"/>
            <w:tcBorders>
              <w:top w:val="single" w:sz="4" w:space="0" w:color="000000"/>
              <w:left w:val="single" w:sz="4" w:space="0" w:color="000000"/>
              <w:bottom w:val="single" w:sz="4" w:space="0" w:color="000000"/>
              <w:right w:val="single" w:sz="4" w:space="0" w:color="000000"/>
            </w:tcBorders>
          </w:tcPr>
          <w:p w14:paraId="248899BA"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lastRenderedPageBreak/>
              <w:t>Severe pain including myocardial infarction</w:t>
            </w:r>
          </w:p>
        </w:tc>
      </w:tr>
      <w:tr w:rsidR="00B52E44" w14:paraId="14E73014" w14:textId="77777777">
        <w:tc>
          <w:tcPr>
            <w:tcW w:w="5102" w:type="dxa"/>
            <w:tcBorders>
              <w:top w:val="single" w:sz="4" w:space="0" w:color="000000"/>
              <w:left w:val="single" w:sz="4" w:space="0" w:color="000000"/>
              <w:bottom w:val="single" w:sz="4" w:space="0" w:color="000000"/>
              <w:right w:val="single" w:sz="4" w:space="0" w:color="000000"/>
            </w:tcBorders>
          </w:tcPr>
          <w:p w14:paraId="320BF568"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 xml:space="preserve">Salbutamol, either nebules or inhaler with </w:t>
            </w:r>
            <w:proofErr w:type="spellStart"/>
            <w:r>
              <w:rPr>
                <w:rFonts w:ascii="Arial" w:hAnsi="Arial" w:cs="Arial"/>
                <w:sz w:val="22"/>
                <w:szCs w:val="22"/>
              </w:rPr>
              <w:t>volumatic</w:t>
            </w:r>
            <w:proofErr w:type="spellEnd"/>
            <w:r>
              <w:rPr>
                <w:rFonts w:ascii="Arial" w:hAnsi="Arial" w:cs="Arial"/>
                <w:sz w:val="22"/>
                <w:szCs w:val="22"/>
              </w:rPr>
              <w:t xml:space="preserve"> and </w:t>
            </w:r>
            <w:proofErr w:type="spellStart"/>
            <w:r>
              <w:rPr>
                <w:rFonts w:ascii="Arial" w:hAnsi="Arial" w:cs="Arial"/>
                <w:sz w:val="22"/>
                <w:szCs w:val="22"/>
              </w:rPr>
              <w:t>ipratorium</w:t>
            </w:r>
            <w:proofErr w:type="spellEnd"/>
            <w:r>
              <w:rPr>
                <w:rFonts w:ascii="Arial" w:hAnsi="Arial" w:cs="Arial"/>
                <w:sz w:val="22"/>
                <w:szCs w:val="22"/>
              </w:rPr>
              <w:t xml:space="preserve"> bromide (children) – consider strengths stocked</w:t>
            </w:r>
          </w:p>
        </w:tc>
        <w:tc>
          <w:tcPr>
            <w:tcW w:w="3042" w:type="dxa"/>
            <w:tcBorders>
              <w:top w:val="single" w:sz="4" w:space="0" w:color="000000"/>
              <w:left w:val="single" w:sz="4" w:space="0" w:color="000000"/>
              <w:bottom w:val="single" w:sz="4" w:space="0" w:color="000000"/>
              <w:right w:val="single" w:sz="4" w:space="0" w:color="000000"/>
            </w:tcBorders>
          </w:tcPr>
          <w:p w14:paraId="0FD26130"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Asthma</w:t>
            </w:r>
          </w:p>
        </w:tc>
      </w:tr>
      <w:tr w:rsidR="00B52E44" w14:paraId="2C64EB7F" w14:textId="77777777">
        <w:tc>
          <w:tcPr>
            <w:tcW w:w="5102" w:type="dxa"/>
            <w:tcBorders>
              <w:top w:val="single" w:sz="4" w:space="0" w:color="000000"/>
              <w:left w:val="single" w:sz="4" w:space="0" w:color="000000"/>
              <w:bottom w:val="single" w:sz="4" w:space="0" w:color="000000"/>
              <w:right w:val="single" w:sz="4" w:space="0" w:color="000000"/>
            </w:tcBorders>
          </w:tcPr>
          <w:p w14:paraId="042C273E"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shd w:val="clear" w:color="auto" w:fill="FFFF00"/>
              </w:rPr>
              <w:t>[Add as required</w:t>
            </w:r>
            <w:r>
              <w:rPr>
                <w:rFonts w:ascii="Arial" w:hAnsi="Arial" w:cs="Arial"/>
                <w:sz w:val="22"/>
                <w:szCs w:val="22"/>
              </w:rPr>
              <w:t>]</w:t>
            </w:r>
          </w:p>
        </w:tc>
        <w:tc>
          <w:tcPr>
            <w:tcW w:w="3042" w:type="dxa"/>
            <w:tcBorders>
              <w:top w:val="single" w:sz="4" w:space="0" w:color="000000"/>
              <w:left w:val="single" w:sz="4" w:space="0" w:color="000000"/>
              <w:bottom w:val="single" w:sz="4" w:space="0" w:color="000000"/>
              <w:right w:val="single" w:sz="4" w:space="0" w:color="000000"/>
            </w:tcBorders>
          </w:tcPr>
          <w:p w14:paraId="2CEA1CF0" w14:textId="77777777" w:rsidR="00B52E44" w:rsidRDefault="00B52E44">
            <w:pPr>
              <w:pStyle w:val="NormalWeb"/>
              <w:widowControl w:val="0"/>
              <w:spacing w:before="120" w:after="120"/>
              <w:rPr>
                <w:rFonts w:ascii="Arial" w:eastAsia="Calibri" w:hAnsi="Arial" w:cs="Arial"/>
                <w:sz w:val="22"/>
                <w:szCs w:val="22"/>
                <w:lang w:eastAsia="en-US"/>
              </w:rPr>
            </w:pPr>
          </w:p>
        </w:tc>
      </w:tr>
    </w:tbl>
    <w:p w14:paraId="36AB257A" w14:textId="77777777" w:rsidR="00B52E44" w:rsidRDefault="00B52E44">
      <w:pPr>
        <w:rPr>
          <w:rFonts w:ascii="Arial" w:hAnsi="Arial" w:cs="Arial"/>
        </w:rPr>
      </w:pPr>
    </w:p>
    <w:p w14:paraId="5EC997F4" w14:textId="77777777" w:rsidR="00B52E44" w:rsidRDefault="00000000">
      <w:pPr>
        <w:rPr>
          <w:rFonts w:ascii="Arial" w:hAnsi="Arial" w:cs="Arial"/>
          <w:b/>
          <w:bCs/>
        </w:rPr>
      </w:pPr>
      <w:r>
        <w:rPr>
          <w:rFonts w:ascii="Arial" w:hAnsi="Arial" w:cs="Arial"/>
          <w:b/>
          <w:bCs/>
        </w:rPr>
        <w:t xml:space="preserve">Notes: </w:t>
      </w:r>
    </w:p>
    <w:p w14:paraId="76D75549" w14:textId="77777777" w:rsidR="00B52E44" w:rsidRDefault="00B52E44">
      <w:pPr>
        <w:rPr>
          <w:rFonts w:ascii="Arial" w:hAnsi="Arial" w:cs="Arial"/>
        </w:rPr>
      </w:pPr>
    </w:p>
    <w:p w14:paraId="3DEFD611" w14:textId="77777777" w:rsidR="00B52E44" w:rsidRDefault="00000000">
      <w:pPr>
        <w:numPr>
          <w:ilvl w:val="0"/>
          <w:numId w:val="8"/>
        </w:numPr>
        <w:rPr>
          <w:rFonts w:ascii="Arial" w:hAnsi="Arial" w:cs="Arial"/>
        </w:rPr>
      </w:pPr>
      <w:r>
        <w:rPr>
          <w:rFonts w:ascii="Arial" w:hAnsi="Arial" w:cs="Arial"/>
        </w:rPr>
        <w:t>The above list is not exhaustive and additional medicines may need to be added depending on the needs of the local population and local arrangements for services e.g., district nurse, palliative care and substance misuse.</w:t>
      </w:r>
    </w:p>
    <w:p w14:paraId="34F43074" w14:textId="77777777" w:rsidR="00B52E44" w:rsidRDefault="00000000">
      <w:pPr>
        <w:numPr>
          <w:ilvl w:val="0"/>
          <w:numId w:val="8"/>
        </w:numPr>
        <w:rPr>
          <w:rFonts w:ascii="Arial" w:eastAsia="Times New Roman" w:hAnsi="Arial" w:cs="Arial"/>
          <w:lang w:eastAsia="en-GB"/>
        </w:rPr>
      </w:pPr>
      <w:r>
        <w:rPr>
          <w:rFonts w:ascii="Arial" w:eastAsia="Times New Roman" w:hAnsi="Arial" w:cs="Arial"/>
          <w:lang w:eastAsia="en-GB"/>
        </w:rPr>
        <w:t xml:space="preserve">Naloxone is a medicine used to reverse the effects of opiates. Organisations that stock opiates (either in the practice or in the doctor’s bag) should also stock naloxone. </w:t>
      </w:r>
    </w:p>
    <w:p w14:paraId="16F3A9A9" w14:textId="77777777" w:rsidR="00B52E44" w:rsidRDefault="00B52E44">
      <w:pPr>
        <w:ind w:left="720"/>
        <w:rPr>
          <w:rFonts w:ascii="Arial" w:eastAsia="Times New Roman" w:hAnsi="Arial" w:cs="Arial"/>
          <w:lang w:eastAsia="en-GB"/>
        </w:rPr>
      </w:pPr>
    </w:p>
    <w:p w14:paraId="1CC071DE" w14:textId="77777777" w:rsidR="00B52E44" w:rsidRDefault="00000000">
      <w:pPr>
        <w:ind w:left="720"/>
      </w:pPr>
      <w:r>
        <w:rPr>
          <w:rFonts w:ascii="Arial" w:eastAsia="Times New Roman" w:hAnsi="Arial" w:cs="Arial"/>
          <w:lang w:eastAsia="en-GB"/>
        </w:rPr>
        <w:t xml:space="preserve">A </w:t>
      </w:r>
      <w:r>
        <w:rPr>
          <w:rFonts w:ascii="Arial" w:hAnsi="Arial" w:cs="Arial"/>
        </w:rPr>
        <w:t>risk assessment</w:t>
      </w:r>
      <w:r>
        <w:rPr>
          <w:rFonts w:ascii="Arial" w:eastAsia="Times New Roman" w:hAnsi="Arial" w:cs="Arial"/>
          <w:lang w:eastAsia="en-GB"/>
        </w:rPr>
        <w:t xml:space="preserve"> may be needed based on the patient group. For example, patients with addiction or those patients who present with opiate related problems.</w:t>
      </w:r>
    </w:p>
    <w:p w14:paraId="1DDD1157" w14:textId="77777777" w:rsidR="00B52E44" w:rsidRDefault="00B52E44">
      <w:pPr>
        <w:rPr>
          <w:rFonts w:ascii="Arial" w:eastAsia="Times New Roman" w:hAnsi="Arial" w:cs="Arial"/>
          <w:lang w:eastAsia="en-GB"/>
        </w:rPr>
      </w:pPr>
    </w:p>
    <w:p w14:paraId="44EEF937" w14:textId="77777777" w:rsidR="00B52E44" w:rsidRDefault="00000000">
      <w:pPr>
        <w:numPr>
          <w:ilvl w:val="0"/>
          <w:numId w:val="8"/>
        </w:numPr>
      </w:pPr>
      <w:r>
        <w:rPr>
          <w:rFonts w:ascii="Arial" w:eastAsia="Times New Roman" w:hAnsi="Arial" w:cs="Arial"/>
          <w:lang w:eastAsia="en-GB"/>
        </w:rPr>
        <w:t xml:space="preserve">The CQC would expect to see evidence that an appropriate </w:t>
      </w:r>
      <w:hyperlink r:id="rId55">
        <w:r>
          <w:rPr>
            <w:rStyle w:val="Hyperlink"/>
            <w:rFonts w:ascii="Arial" w:eastAsia="Times New Roman" w:hAnsi="Arial" w:cs="Arial"/>
            <w:lang w:eastAsia="en-GB"/>
          </w:rPr>
          <w:t>risk assessment</w:t>
        </w:r>
      </w:hyperlink>
      <w:r>
        <w:rPr>
          <w:rFonts w:ascii="Arial" w:eastAsia="Times New Roman" w:hAnsi="Arial" w:cs="Arial"/>
          <w:lang w:eastAsia="en-GB"/>
        </w:rPr>
        <w:t xml:space="preserve"> has been conducted. This is to identify a list of medicines that are not suitable for a practice to stock and how this is kept under review.</w:t>
      </w:r>
    </w:p>
    <w:p w14:paraId="1EDB9F2E" w14:textId="77777777" w:rsidR="00B52E44" w:rsidRDefault="00B52E44">
      <w:pPr>
        <w:pStyle w:val="ListParagraph"/>
        <w:rPr>
          <w:rFonts w:ascii="Arial" w:eastAsia="Times New Roman" w:hAnsi="Arial" w:cs="Arial"/>
          <w:lang w:eastAsia="en-GB"/>
        </w:rPr>
      </w:pPr>
    </w:p>
    <w:p w14:paraId="6A766646" w14:textId="77777777" w:rsidR="00B52E44" w:rsidRDefault="00000000">
      <w:pPr>
        <w:numPr>
          <w:ilvl w:val="0"/>
          <w:numId w:val="8"/>
        </w:numPr>
        <w:rPr>
          <w:rFonts w:ascii="Arial" w:eastAsia="Times New Roman" w:hAnsi="Arial" w:cs="Arial"/>
          <w:lang w:eastAsia="en-GB"/>
        </w:rPr>
      </w:pPr>
      <w:r>
        <w:rPr>
          <w:rFonts w:ascii="Arial" w:eastAsia="Times New Roman" w:hAnsi="Arial" w:cs="Arial"/>
          <w:lang w:eastAsia="en-GB"/>
        </w:rPr>
        <w:t>There should be a process and system in place to check that drugs are in date and equipment is well maintained.</w:t>
      </w:r>
    </w:p>
    <w:p w14:paraId="5B3E7EF8" w14:textId="77777777" w:rsidR="00B52E44" w:rsidRDefault="00B52E44">
      <w:pPr>
        <w:pStyle w:val="ListParagraph"/>
        <w:rPr>
          <w:rFonts w:ascii="Arial" w:eastAsia="Times New Roman" w:hAnsi="Arial" w:cs="Arial"/>
          <w:lang w:eastAsia="en-GB"/>
        </w:rPr>
      </w:pPr>
    </w:p>
    <w:p w14:paraId="0799CD62" w14:textId="77777777" w:rsidR="00B52E44" w:rsidRDefault="00000000">
      <w:r>
        <w:rPr>
          <w:rFonts w:ascii="Arial" w:eastAsia="Times New Roman" w:hAnsi="Arial" w:cs="Arial"/>
          <w:lang w:eastAsia="en-GB"/>
        </w:rPr>
        <w:t xml:space="preserve">Further advice on what should be should be kept in a doctor’s emergency bag can be found </w:t>
      </w:r>
      <w:hyperlink r:id="rId56">
        <w:r>
          <w:rPr>
            <w:rStyle w:val="Hyperlink"/>
            <w:rFonts w:ascii="Arial" w:eastAsia="Times New Roman" w:hAnsi="Arial" w:cs="Arial"/>
            <w:lang w:eastAsia="en-GB"/>
          </w:rPr>
          <w:t>here</w:t>
        </w:r>
      </w:hyperlink>
      <w:r>
        <w:rPr>
          <w:rFonts w:ascii="Arial" w:eastAsia="Times New Roman" w:hAnsi="Arial" w:cs="Arial"/>
          <w:lang w:eastAsia="en-GB"/>
        </w:rPr>
        <w:t>.</w:t>
      </w:r>
    </w:p>
    <w:p w14:paraId="3268E18C" w14:textId="77777777" w:rsidR="00B52E44" w:rsidRDefault="00000000">
      <w:pPr>
        <w:pStyle w:val="Heading1"/>
        <w:keepLines/>
        <w:pBdr>
          <w:bottom w:val="single" w:sz="4" w:space="1" w:color="595959"/>
        </w:pBdr>
        <w:spacing w:before="360" w:after="160" w:line="259" w:lineRule="auto"/>
        <w:rPr>
          <w:sz w:val="28"/>
          <w:szCs w:val="28"/>
        </w:rPr>
      </w:pPr>
      <w:bookmarkStart w:id="120" w:name="_Toc119930252"/>
      <w:r>
        <w:rPr>
          <w:sz w:val="28"/>
          <w:szCs w:val="28"/>
        </w:rPr>
        <w:t>Life support obligations and FAQs</w:t>
      </w:r>
      <w:bookmarkEnd w:id="120"/>
    </w:p>
    <w:p w14:paraId="7CA1937E" w14:textId="77777777" w:rsidR="00B52E44" w:rsidRDefault="00B52E44">
      <w:pPr>
        <w:rPr>
          <w:rFonts w:ascii="Arial" w:eastAsia="Times New Roman" w:hAnsi="Arial" w:cs="Arial"/>
          <w:lang w:eastAsia="en-GB"/>
        </w:rPr>
      </w:pPr>
    </w:p>
    <w:p w14:paraId="5DA44E98" w14:textId="77777777" w:rsidR="00B52E44" w:rsidRDefault="00000000">
      <w:r>
        <w:rPr>
          <w:rFonts w:ascii="Arial" w:eastAsia="Times New Roman" w:hAnsi="Arial" w:cs="Arial"/>
          <w:lang w:eastAsia="en-GB"/>
        </w:rPr>
        <w:t xml:space="preserve">The RCUK have a section of </w:t>
      </w:r>
      <w:hyperlink r:id="rId57">
        <w:r>
          <w:rPr>
            <w:rStyle w:val="Hyperlink"/>
            <w:rFonts w:ascii="Arial" w:eastAsia="Times New Roman" w:hAnsi="Arial" w:cs="Arial"/>
            <w:lang w:eastAsia="en-GB"/>
          </w:rPr>
          <w:t>FAQs</w:t>
        </w:r>
      </w:hyperlink>
      <w:r>
        <w:rPr>
          <w:rFonts w:ascii="Arial" w:eastAsia="Times New Roman" w:hAnsi="Arial" w:cs="Arial"/>
          <w:lang w:eastAsia="en-GB"/>
        </w:rPr>
        <w:t xml:space="preserve"> covering basic and advanced life support (CPR) including:</w:t>
      </w:r>
    </w:p>
    <w:p w14:paraId="036806F2" w14:textId="77777777" w:rsidR="00B52E44" w:rsidRDefault="00B52E44">
      <w:pPr>
        <w:rPr>
          <w:rFonts w:ascii="Arial" w:eastAsia="Times New Roman" w:hAnsi="Arial" w:cs="Arial"/>
          <w:lang w:eastAsia="en-GB"/>
        </w:rPr>
      </w:pPr>
    </w:p>
    <w:p w14:paraId="48DF30B4" w14:textId="77777777" w:rsidR="00B52E44" w:rsidRDefault="00000000">
      <w:pPr>
        <w:pStyle w:val="ListParagraph"/>
        <w:numPr>
          <w:ilvl w:val="0"/>
          <w:numId w:val="16"/>
        </w:numPr>
        <w:rPr>
          <w:rFonts w:ascii="Arial" w:eastAsia="Times New Roman" w:hAnsi="Arial" w:cs="Arial"/>
          <w:lang w:eastAsia="en-GB"/>
        </w:rPr>
      </w:pPr>
      <w:r>
        <w:rPr>
          <w:rFonts w:ascii="Arial" w:eastAsia="Times New Roman" w:hAnsi="Arial" w:cs="Arial"/>
          <w:lang w:eastAsia="en-GB"/>
        </w:rPr>
        <w:t>Adult Basic Life Support</w:t>
      </w:r>
    </w:p>
    <w:p w14:paraId="355C4B79" w14:textId="77777777" w:rsidR="00B52E44" w:rsidRDefault="00000000">
      <w:pPr>
        <w:pStyle w:val="ListParagraph"/>
        <w:numPr>
          <w:ilvl w:val="0"/>
          <w:numId w:val="16"/>
        </w:numPr>
        <w:rPr>
          <w:rFonts w:ascii="Arial" w:eastAsia="Times New Roman" w:hAnsi="Arial" w:cs="Arial"/>
          <w:lang w:eastAsia="en-GB"/>
        </w:rPr>
      </w:pPr>
      <w:r>
        <w:rPr>
          <w:rFonts w:ascii="Arial" w:eastAsia="Times New Roman" w:hAnsi="Arial" w:cs="Arial"/>
          <w:lang w:eastAsia="en-GB"/>
        </w:rPr>
        <w:t>CPR</w:t>
      </w:r>
    </w:p>
    <w:p w14:paraId="30C831E1" w14:textId="77777777" w:rsidR="00B52E44" w:rsidRDefault="00000000">
      <w:pPr>
        <w:pStyle w:val="ListParagraph"/>
        <w:numPr>
          <w:ilvl w:val="0"/>
          <w:numId w:val="16"/>
        </w:numPr>
        <w:rPr>
          <w:rFonts w:ascii="Arial" w:eastAsia="Times New Roman" w:hAnsi="Arial" w:cs="Arial"/>
          <w:lang w:eastAsia="en-GB"/>
        </w:rPr>
      </w:pPr>
      <w:r>
        <w:rPr>
          <w:rFonts w:ascii="Arial" w:eastAsia="Times New Roman" w:hAnsi="Arial" w:cs="Arial"/>
          <w:lang w:eastAsia="en-GB"/>
        </w:rPr>
        <w:t>Defibrillators</w:t>
      </w:r>
    </w:p>
    <w:p w14:paraId="0B2E652D" w14:textId="77777777" w:rsidR="00B52E44" w:rsidRDefault="00000000">
      <w:pPr>
        <w:pStyle w:val="ListParagraph"/>
        <w:numPr>
          <w:ilvl w:val="0"/>
          <w:numId w:val="16"/>
        </w:numPr>
        <w:rPr>
          <w:rFonts w:ascii="Arial" w:eastAsia="Times New Roman" w:hAnsi="Arial" w:cs="Arial"/>
          <w:lang w:eastAsia="en-GB"/>
        </w:rPr>
      </w:pPr>
      <w:r>
        <w:rPr>
          <w:rFonts w:ascii="Arial" w:eastAsia="Times New Roman" w:hAnsi="Arial" w:cs="Arial"/>
          <w:lang w:eastAsia="en-GB"/>
        </w:rPr>
        <w:t>Choking</w:t>
      </w:r>
    </w:p>
    <w:p w14:paraId="0DEC1A0F" w14:textId="77777777" w:rsidR="00B52E44" w:rsidRDefault="00000000">
      <w:pPr>
        <w:pStyle w:val="ListParagraph"/>
        <w:numPr>
          <w:ilvl w:val="0"/>
          <w:numId w:val="16"/>
        </w:numPr>
        <w:rPr>
          <w:rFonts w:ascii="Arial" w:eastAsia="Times New Roman" w:hAnsi="Arial" w:cs="Arial"/>
          <w:lang w:eastAsia="en-GB"/>
        </w:rPr>
      </w:pPr>
      <w:r>
        <w:rPr>
          <w:rFonts w:ascii="Arial" w:eastAsia="Times New Roman" w:hAnsi="Arial" w:cs="Arial"/>
          <w:lang w:eastAsia="en-GB"/>
        </w:rPr>
        <w:t>Paediatric Basic Life Support</w:t>
      </w:r>
    </w:p>
    <w:p w14:paraId="35B07975" w14:textId="77777777" w:rsidR="00B52E44" w:rsidRDefault="00000000">
      <w:pPr>
        <w:pStyle w:val="ListParagraph"/>
        <w:numPr>
          <w:ilvl w:val="0"/>
          <w:numId w:val="16"/>
        </w:numPr>
        <w:rPr>
          <w:rFonts w:ascii="Arial" w:eastAsia="Times New Roman" w:hAnsi="Arial" w:cs="Arial"/>
          <w:lang w:eastAsia="en-GB"/>
        </w:rPr>
      </w:pPr>
      <w:r>
        <w:rPr>
          <w:rFonts w:ascii="Arial" w:eastAsia="Times New Roman" w:hAnsi="Arial" w:cs="Arial"/>
          <w:lang w:eastAsia="en-GB"/>
        </w:rPr>
        <w:t xml:space="preserve">Training in CPR and AEDs </w:t>
      </w:r>
    </w:p>
    <w:p w14:paraId="4E304655" w14:textId="77777777" w:rsidR="00B52E44" w:rsidRDefault="00B52E44">
      <w:pPr>
        <w:rPr>
          <w:rFonts w:ascii="Arial" w:eastAsia="Times New Roman" w:hAnsi="Arial" w:cs="Arial"/>
          <w:lang w:eastAsia="en-GB"/>
        </w:rPr>
      </w:pPr>
    </w:p>
    <w:p w14:paraId="2D071A00" w14:textId="77777777" w:rsidR="00B52E44" w:rsidRDefault="00000000">
      <w:r>
        <w:rPr>
          <w:rFonts w:ascii="Arial" w:eastAsia="Times New Roman" w:hAnsi="Arial" w:cs="Arial"/>
          <w:lang w:eastAsia="en-GB"/>
        </w:rPr>
        <w:t xml:space="preserve">Whilst there are no statutory legal provisions in the UK relating to the practice of resuscitation or defibrillation, further reading can be sought from the RCUK in its publication titled </w:t>
      </w:r>
      <w:hyperlink r:id="rId58">
        <w:r>
          <w:rPr>
            <w:rStyle w:val="Hyperlink"/>
            <w:rFonts w:ascii="Arial" w:eastAsia="Times New Roman" w:hAnsi="Arial" w:cs="Arial"/>
            <w:lang w:eastAsia="en-GB"/>
          </w:rPr>
          <w:t>CPR, AEDs and the law</w:t>
        </w:r>
      </w:hyperlink>
      <w:r>
        <w:rPr>
          <w:rFonts w:ascii="Arial" w:eastAsia="Times New Roman" w:hAnsi="Arial" w:cs="Arial"/>
          <w:lang w:eastAsia="en-GB"/>
        </w:rPr>
        <w:t xml:space="preserve"> dated April 2018.</w:t>
      </w:r>
    </w:p>
    <w:p w14:paraId="047D33CA" w14:textId="77777777" w:rsidR="00B52E44" w:rsidRDefault="00000000">
      <w:pPr>
        <w:pStyle w:val="Heading1"/>
        <w:keepLines/>
        <w:pBdr>
          <w:bottom w:val="single" w:sz="4" w:space="1" w:color="595959"/>
        </w:pBdr>
        <w:spacing w:before="360" w:after="160" w:line="259" w:lineRule="auto"/>
      </w:pPr>
      <w:bookmarkStart w:id="121" w:name="_Toc95249031"/>
      <w:bookmarkStart w:id="122" w:name="_Management_of_specific"/>
      <w:bookmarkStart w:id="123" w:name="_Toc59460763"/>
      <w:bookmarkStart w:id="124" w:name="_Toc59460109"/>
      <w:bookmarkStart w:id="125" w:name="_Toc59459589"/>
      <w:bookmarkStart w:id="126" w:name="_Toc59458794"/>
      <w:bookmarkStart w:id="127" w:name="_Toc59458727"/>
      <w:bookmarkStart w:id="128" w:name="_Toc59458660"/>
      <w:bookmarkStart w:id="129" w:name="_Toc59458594"/>
      <w:bookmarkStart w:id="130" w:name="_Toc59456985"/>
      <w:bookmarkStart w:id="131" w:name="_Toc59436926"/>
      <w:bookmarkStart w:id="132" w:name="_Toc59436884"/>
      <w:bookmarkStart w:id="133" w:name="_Toc59460762"/>
      <w:bookmarkStart w:id="134" w:name="_Toc59460108"/>
      <w:bookmarkStart w:id="135" w:name="_Toc59459588"/>
      <w:bookmarkStart w:id="136" w:name="_Toc59458793"/>
      <w:bookmarkStart w:id="137" w:name="_Toc59458726"/>
      <w:bookmarkStart w:id="138" w:name="_Toc59458659"/>
      <w:bookmarkStart w:id="139" w:name="_Toc59458593"/>
      <w:bookmarkStart w:id="140" w:name="_Toc59456984"/>
      <w:bookmarkStart w:id="141" w:name="_Toc59436925"/>
      <w:bookmarkStart w:id="142" w:name="_Toc59436883"/>
      <w:bookmarkStart w:id="143" w:name="_Toc59460761"/>
      <w:bookmarkStart w:id="144" w:name="_Toc59460107"/>
      <w:bookmarkStart w:id="145" w:name="_Toc59459587"/>
      <w:bookmarkStart w:id="146" w:name="_Toc59458792"/>
      <w:bookmarkStart w:id="147" w:name="_Toc59458725"/>
      <w:bookmarkStart w:id="148" w:name="_Toc59458658"/>
      <w:bookmarkStart w:id="149" w:name="_Toc59458592"/>
      <w:bookmarkStart w:id="150" w:name="_Toc59456983"/>
      <w:bookmarkStart w:id="151" w:name="_Toc59436924"/>
      <w:bookmarkStart w:id="152" w:name="_Toc59436882"/>
      <w:bookmarkStart w:id="153" w:name="_Toc59460760"/>
      <w:bookmarkStart w:id="154" w:name="_Toc59460106"/>
      <w:bookmarkStart w:id="155" w:name="_Toc59459586"/>
      <w:bookmarkStart w:id="156" w:name="_Toc59458791"/>
      <w:bookmarkStart w:id="157" w:name="_Toc59458724"/>
      <w:bookmarkStart w:id="158" w:name="_Toc59458657"/>
      <w:bookmarkStart w:id="159" w:name="_Toc59458591"/>
      <w:bookmarkStart w:id="160" w:name="_Toc59456982"/>
      <w:bookmarkStart w:id="161" w:name="_Toc59436923"/>
      <w:bookmarkStart w:id="162" w:name="_Toc59436881"/>
      <w:bookmarkStart w:id="163" w:name="_Toc59460759"/>
      <w:bookmarkStart w:id="164" w:name="_Toc59460105"/>
      <w:bookmarkStart w:id="165" w:name="_Toc59459585"/>
      <w:bookmarkStart w:id="166" w:name="_Toc59458790"/>
      <w:bookmarkStart w:id="167" w:name="_Toc59458723"/>
      <w:bookmarkStart w:id="168" w:name="_Toc59458656"/>
      <w:bookmarkStart w:id="169" w:name="_Toc59458590"/>
      <w:bookmarkStart w:id="170" w:name="_Toc59456981"/>
      <w:bookmarkStart w:id="171" w:name="_Toc59436922"/>
      <w:bookmarkStart w:id="172" w:name="_Toc59436880"/>
      <w:bookmarkStart w:id="173" w:name="_Toc59460758"/>
      <w:bookmarkStart w:id="174" w:name="_Toc59460104"/>
      <w:bookmarkStart w:id="175" w:name="_Toc59459584"/>
      <w:bookmarkStart w:id="176" w:name="_Toc59458789"/>
      <w:bookmarkStart w:id="177" w:name="_Toc59458722"/>
      <w:bookmarkStart w:id="178" w:name="_Toc59458655"/>
      <w:bookmarkStart w:id="179" w:name="_Toc59458589"/>
      <w:bookmarkStart w:id="180" w:name="_Toc59456980"/>
      <w:bookmarkStart w:id="181" w:name="_Toc59436921"/>
      <w:bookmarkStart w:id="182" w:name="_Toc59436879"/>
      <w:bookmarkStart w:id="183" w:name="_Toc59460754"/>
      <w:bookmarkStart w:id="184" w:name="_Toc59460100"/>
      <w:bookmarkStart w:id="185" w:name="_Toc59459580"/>
      <w:bookmarkStart w:id="186" w:name="_Toc59458785"/>
      <w:bookmarkStart w:id="187" w:name="_Toc59458718"/>
      <w:bookmarkStart w:id="188" w:name="_Toc59458651"/>
      <w:bookmarkStart w:id="189" w:name="_Toc59458585"/>
      <w:bookmarkStart w:id="190" w:name="_Toc59456976"/>
      <w:bookmarkStart w:id="191" w:name="_Toc59436917"/>
      <w:bookmarkStart w:id="192" w:name="_Toc59436875"/>
      <w:bookmarkStart w:id="193" w:name="_Toc95476102"/>
      <w:bookmarkStart w:id="194" w:name="_Toc95468837"/>
      <w:bookmarkStart w:id="195" w:name="_Toc95468756"/>
      <w:bookmarkStart w:id="196" w:name="_Toc95468671"/>
      <w:bookmarkStart w:id="197" w:name="_Toc95468587"/>
      <w:bookmarkStart w:id="198" w:name="_Toc95407579"/>
      <w:bookmarkStart w:id="199" w:name="_Toc95406527"/>
      <w:bookmarkStart w:id="200" w:name="_Toc95396242"/>
      <w:bookmarkStart w:id="201" w:name="_Toc95375861"/>
      <w:bookmarkStart w:id="202" w:name="_Toc95375798"/>
      <w:bookmarkStart w:id="203" w:name="_Toc95375716"/>
      <w:bookmarkStart w:id="204" w:name="_Toc95249510"/>
      <w:bookmarkStart w:id="205" w:name="_Toc95249098"/>
      <w:bookmarkStart w:id="206" w:name="_Toc95249034"/>
      <w:bookmarkStart w:id="207" w:name="_Toc95128557"/>
      <w:bookmarkStart w:id="208" w:name="_Toc95128172"/>
      <w:bookmarkStart w:id="209" w:name="_Toc95476101"/>
      <w:bookmarkStart w:id="210" w:name="_Toc95468836"/>
      <w:bookmarkStart w:id="211" w:name="_Toc95468755"/>
      <w:bookmarkStart w:id="212" w:name="_Toc95468670"/>
      <w:bookmarkStart w:id="213" w:name="_Toc95468586"/>
      <w:bookmarkStart w:id="214" w:name="_Toc95407578"/>
      <w:bookmarkStart w:id="215" w:name="_Toc95406526"/>
      <w:bookmarkStart w:id="216" w:name="_Toc95396241"/>
      <w:bookmarkStart w:id="217" w:name="_Toc95375860"/>
      <w:bookmarkStart w:id="218" w:name="_Toc95375797"/>
      <w:bookmarkStart w:id="219" w:name="_Toc95375715"/>
      <w:bookmarkStart w:id="220" w:name="_Toc95249509"/>
      <w:bookmarkStart w:id="221" w:name="_Toc95249097"/>
      <w:bookmarkStart w:id="222" w:name="_Toc95249033"/>
      <w:bookmarkStart w:id="223" w:name="_Toc95128556"/>
      <w:bookmarkStart w:id="224" w:name="_Toc95128171"/>
      <w:bookmarkStart w:id="225" w:name="_Toc95476100"/>
      <w:bookmarkStart w:id="226" w:name="_Toc95468835"/>
      <w:bookmarkStart w:id="227" w:name="_Toc95468754"/>
      <w:bookmarkStart w:id="228" w:name="_Toc95468669"/>
      <w:bookmarkStart w:id="229" w:name="_Toc95468585"/>
      <w:bookmarkStart w:id="230" w:name="_Toc95407577"/>
      <w:bookmarkStart w:id="231" w:name="_Toc95406525"/>
      <w:bookmarkStart w:id="232" w:name="_Toc95396240"/>
      <w:bookmarkStart w:id="233" w:name="_Toc95375859"/>
      <w:bookmarkStart w:id="234" w:name="_Toc95375796"/>
      <w:bookmarkStart w:id="235" w:name="_Toc95375714"/>
      <w:bookmarkStart w:id="236" w:name="_Toc95249508"/>
      <w:bookmarkStart w:id="237" w:name="_Toc95249096"/>
      <w:bookmarkStart w:id="238" w:name="_Toc95249032"/>
      <w:bookmarkStart w:id="239" w:name="_Toc95128555"/>
      <w:bookmarkStart w:id="240" w:name="_Toc95128170"/>
      <w:bookmarkStart w:id="241" w:name="_Toc95476099"/>
      <w:bookmarkStart w:id="242" w:name="_Toc95468834"/>
      <w:bookmarkStart w:id="243" w:name="_Toc95468753"/>
      <w:bookmarkStart w:id="244" w:name="_Toc95468668"/>
      <w:bookmarkStart w:id="245" w:name="_Toc95468584"/>
      <w:bookmarkStart w:id="246" w:name="_Toc95407576"/>
      <w:bookmarkStart w:id="247" w:name="_Toc95406524"/>
      <w:bookmarkStart w:id="248" w:name="_Toc95396239"/>
      <w:bookmarkStart w:id="249" w:name="_Toc95375858"/>
      <w:bookmarkStart w:id="250" w:name="_Toc95375795"/>
      <w:bookmarkStart w:id="251" w:name="_Toc95375713"/>
      <w:bookmarkStart w:id="252" w:name="_Toc95249507"/>
      <w:bookmarkStart w:id="253" w:name="_Toc95249095"/>
      <w:bookmarkStart w:id="254" w:name="_Toc119930253"/>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sz w:val="28"/>
          <w:szCs w:val="28"/>
        </w:rPr>
        <w:t>Management of specific medical emergencies</w:t>
      </w:r>
      <w:bookmarkEnd w:id="254"/>
      <w:r>
        <w:rPr>
          <w:sz w:val="28"/>
          <w:szCs w:val="28"/>
        </w:rPr>
        <w:t xml:space="preserve"> </w:t>
      </w:r>
    </w:p>
    <w:p w14:paraId="5238924A" w14:textId="77777777" w:rsidR="00B52E44" w:rsidRDefault="00B52E44">
      <w:pPr>
        <w:rPr>
          <w:rFonts w:ascii="Arial" w:hAnsi="Arial" w:cs="Arial"/>
        </w:rPr>
      </w:pPr>
    </w:p>
    <w:p w14:paraId="5F510CC7" w14:textId="77777777" w:rsidR="00B52E44" w:rsidRDefault="00000000">
      <w:pPr>
        <w:rPr>
          <w:rFonts w:ascii="Arial" w:hAnsi="Arial" w:cs="Arial"/>
        </w:rPr>
      </w:pPr>
      <w:r>
        <w:rPr>
          <w:rFonts w:ascii="Arial" w:hAnsi="Arial" w:cs="Arial"/>
        </w:rPr>
        <w:lastRenderedPageBreak/>
        <w:t xml:space="preserve">The RCUK produces guidelines approximately every five years, with the latest version being 2021. </w:t>
      </w:r>
    </w:p>
    <w:p w14:paraId="43641DB6" w14:textId="77777777" w:rsidR="00B52E44" w:rsidRDefault="00B52E44">
      <w:pPr>
        <w:rPr>
          <w:rFonts w:ascii="Arial" w:hAnsi="Arial" w:cs="Arial"/>
        </w:rPr>
      </w:pPr>
    </w:p>
    <w:p w14:paraId="72D4ACC6" w14:textId="77777777" w:rsidR="00B52E44" w:rsidRDefault="00000000">
      <w:pPr>
        <w:rPr>
          <w:rFonts w:ascii="Arial" w:hAnsi="Arial" w:cs="Arial"/>
        </w:rPr>
      </w:pPr>
      <w:r>
        <w:rPr>
          <w:rFonts w:ascii="Arial" w:hAnsi="Arial" w:cs="Arial"/>
        </w:rPr>
        <w:t>The below links detail the management of the following emergencies:</w:t>
      </w:r>
    </w:p>
    <w:p w14:paraId="63F52A14" w14:textId="77777777" w:rsidR="00B52E44" w:rsidRDefault="00B52E44">
      <w:pPr>
        <w:rPr>
          <w:rFonts w:ascii="Arial" w:hAnsi="Arial" w:cs="Arial"/>
        </w:rPr>
      </w:pPr>
    </w:p>
    <w:p w14:paraId="4F5C2EBC" w14:textId="77777777" w:rsidR="00B52E44" w:rsidRDefault="00000000">
      <w:pPr>
        <w:pStyle w:val="ListParagraph"/>
        <w:numPr>
          <w:ilvl w:val="0"/>
          <w:numId w:val="6"/>
        </w:numPr>
      </w:pPr>
      <w:hyperlink r:id="rId59">
        <w:r>
          <w:rPr>
            <w:rStyle w:val="Hyperlink"/>
            <w:rFonts w:ascii="Arial" w:hAnsi="Arial" w:cs="Arial"/>
          </w:rPr>
          <w:t>ALS (Adults) (2021)</w:t>
        </w:r>
      </w:hyperlink>
    </w:p>
    <w:p w14:paraId="1E79CA99" w14:textId="77777777" w:rsidR="00B52E44" w:rsidRDefault="00000000">
      <w:pPr>
        <w:pStyle w:val="ListParagraph"/>
        <w:numPr>
          <w:ilvl w:val="0"/>
          <w:numId w:val="6"/>
        </w:numPr>
      </w:pPr>
      <w:hyperlink r:id="rId60">
        <w:r>
          <w:rPr>
            <w:rStyle w:val="Hyperlink"/>
            <w:rFonts w:ascii="Arial" w:hAnsi="Arial" w:cs="Arial"/>
          </w:rPr>
          <w:t>ALS (Paediatric) (2021)</w:t>
        </w:r>
      </w:hyperlink>
    </w:p>
    <w:p w14:paraId="415E236D" w14:textId="77777777" w:rsidR="00B52E44" w:rsidRDefault="00000000">
      <w:pPr>
        <w:pStyle w:val="ListParagraph"/>
        <w:numPr>
          <w:ilvl w:val="0"/>
          <w:numId w:val="6"/>
        </w:numPr>
      </w:pPr>
      <w:hyperlink r:id="rId61">
        <w:r>
          <w:rPr>
            <w:rStyle w:val="Hyperlink"/>
            <w:rFonts w:ascii="Arial" w:hAnsi="Arial" w:cs="Arial"/>
          </w:rPr>
          <w:t>BLS (Adults) (2021)</w:t>
        </w:r>
      </w:hyperlink>
    </w:p>
    <w:p w14:paraId="5381F040" w14:textId="77777777" w:rsidR="00B52E44" w:rsidRDefault="00000000">
      <w:pPr>
        <w:pStyle w:val="ListParagraph"/>
        <w:numPr>
          <w:ilvl w:val="0"/>
          <w:numId w:val="6"/>
        </w:numPr>
      </w:pPr>
      <w:hyperlink r:id="rId62">
        <w:r>
          <w:rPr>
            <w:rStyle w:val="Hyperlink"/>
            <w:rFonts w:ascii="Arial" w:hAnsi="Arial" w:cs="Arial"/>
          </w:rPr>
          <w:t>BLS (Paediatric) (2021)</w:t>
        </w:r>
      </w:hyperlink>
    </w:p>
    <w:p w14:paraId="3AEAB76B" w14:textId="77777777" w:rsidR="00B52E44" w:rsidRDefault="00000000">
      <w:pPr>
        <w:pStyle w:val="ListParagraph"/>
        <w:numPr>
          <w:ilvl w:val="0"/>
          <w:numId w:val="6"/>
        </w:numPr>
      </w:pPr>
      <w:hyperlink r:id="rId63">
        <w:r>
          <w:rPr>
            <w:rStyle w:val="Hyperlink"/>
            <w:rFonts w:ascii="Arial" w:hAnsi="Arial" w:cs="Arial"/>
          </w:rPr>
          <w:t>Anaphylaxis (2021)</w:t>
        </w:r>
      </w:hyperlink>
    </w:p>
    <w:p w14:paraId="7B66B578" w14:textId="77777777" w:rsidR="00B52E44" w:rsidRDefault="00000000">
      <w:pPr>
        <w:pStyle w:val="Heading1"/>
        <w:keepLines/>
        <w:pBdr>
          <w:bottom w:val="single" w:sz="4" w:space="1" w:color="595959"/>
        </w:pBdr>
        <w:spacing w:before="360" w:after="160" w:line="259" w:lineRule="auto"/>
        <w:rPr>
          <w:sz w:val="28"/>
          <w:szCs w:val="28"/>
        </w:rPr>
      </w:pPr>
      <w:bookmarkStart w:id="255" w:name="_Toc95476104"/>
      <w:bookmarkStart w:id="256" w:name="_Toc95468839"/>
      <w:bookmarkStart w:id="257" w:name="_Toc95468758"/>
      <w:bookmarkStart w:id="258" w:name="_Toc95468673"/>
      <w:bookmarkStart w:id="259" w:name="_Toc95468589"/>
      <w:bookmarkStart w:id="260" w:name="_Toc95407581"/>
      <w:bookmarkStart w:id="261" w:name="_Toc95406529"/>
      <w:bookmarkStart w:id="262" w:name="_Toc95396244"/>
      <w:bookmarkStart w:id="263" w:name="_Toc95375863"/>
      <w:bookmarkStart w:id="264" w:name="_Toc95375800"/>
      <w:bookmarkStart w:id="265" w:name="_Toc95375718"/>
      <w:bookmarkStart w:id="266" w:name="_Toc95249512"/>
      <w:bookmarkStart w:id="267" w:name="_Toc95249100"/>
      <w:bookmarkStart w:id="268" w:name="_Toc95249036"/>
      <w:bookmarkStart w:id="269" w:name="_Toc95128559"/>
      <w:bookmarkStart w:id="270" w:name="_Toc95128174"/>
      <w:bookmarkStart w:id="271" w:name="_Toc109114916"/>
      <w:bookmarkStart w:id="272" w:name="_Toc109114630"/>
      <w:bookmarkStart w:id="273" w:name="_Toc109114915"/>
      <w:bookmarkStart w:id="274" w:name="_Toc109114629"/>
      <w:bookmarkStart w:id="275" w:name="_Toc109114914"/>
      <w:bookmarkStart w:id="276" w:name="_Toc109114628"/>
      <w:bookmarkStart w:id="277" w:name="_Toc109114913"/>
      <w:bookmarkStart w:id="278" w:name="_Toc109114627"/>
      <w:bookmarkStart w:id="279" w:name="_Toc119930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sz w:val="28"/>
          <w:szCs w:val="28"/>
        </w:rPr>
        <w:t>Further reading</w:t>
      </w:r>
      <w:bookmarkEnd w:id="279"/>
    </w:p>
    <w:p w14:paraId="2E4CC770" w14:textId="77777777" w:rsidR="00B52E44" w:rsidRDefault="00B52E44">
      <w:pPr>
        <w:rPr>
          <w:rFonts w:ascii="Arial" w:hAnsi="Arial" w:cs="Arial"/>
        </w:rPr>
      </w:pPr>
    </w:p>
    <w:p w14:paraId="528BDD7E" w14:textId="77777777" w:rsidR="00B52E44" w:rsidRDefault="00000000">
      <w:pPr>
        <w:rPr>
          <w:rFonts w:ascii="Arial" w:hAnsi="Arial" w:cs="Arial"/>
        </w:rPr>
      </w:pPr>
      <w:r>
        <w:rPr>
          <w:rFonts w:ascii="Arial" w:hAnsi="Arial" w:cs="Arial"/>
        </w:rPr>
        <w:t>The following can support additional training and guidance with the management of medical emergencies:</w:t>
      </w:r>
    </w:p>
    <w:p w14:paraId="5ABD0164" w14:textId="77777777" w:rsidR="00B52E44" w:rsidRDefault="00B52E44">
      <w:pPr>
        <w:rPr>
          <w:rFonts w:ascii="Arial" w:hAnsi="Arial" w:cs="Arial"/>
        </w:rPr>
      </w:pPr>
    </w:p>
    <w:p w14:paraId="1FEB3245" w14:textId="77777777" w:rsidR="00B52E44" w:rsidRDefault="00000000">
      <w:pPr>
        <w:pStyle w:val="ListParagraph"/>
        <w:numPr>
          <w:ilvl w:val="0"/>
          <w:numId w:val="11"/>
        </w:numPr>
      </w:pPr>
      <w:r>
        <w:rPr>
          <w:rFonts w:ascii="Arial" w:hAnsi="Arial" w:cs="Arial"/>
        </w:rPr>
        <w:t xml:space="preserve">NHS E publication </w:t>
      </w:r>
      <w:hyperlink r:id="rId64">
        <w:r>
          <w:rPr>
            <w:rStyle w:val="Hyperlink"/>
            <w:rFonts w:ascii="Arial" w:hAnsi="Arial" w:cs="Arial"/>
          </w:rPr>
          <w:t>Talking do not attempt cardiopulmonary resuscitation</w:t>
        </w:r>
      </w:hyperlink>
    </w:p>
    <w:p w14:paraId="1CF44BD9" w14:textId="77777777" w:rsidR="00B52E44" w:rsidRDefault="00000000">
      <w:pPr>
        <w:pStyle w:val="ListParagraph"/>
        <w:numPr>
          <w:ilvl w:val="0"/>
          <w:numId w:val="11"/>
        </w:numPr>
      </w:pPr>
      <w:hyperlink r:id="rId65">
        <w:r>
          <w:rPr>
            <w:rStyle w:val="Hyperlink"/>
            <w:rFonts w:ascii="Arial" w:hAnsi="Arial" w:cs="Arial"/>
          </w:rPr>
          <w:t>www.resus.org.uk</w:t>
        </w:r>
      </w:hyperlink>
    </w:p>
    <w:p w14:paraId="630E81F2" w14:textId="77777777" w:rsidR="00B52E44" w:rsidRDefault="00000000">
      <w:pPr>
        <w:pStyle w:val="ListParagraph"/>
        <w:numPr>
          <w:ilvl w:val="0"/>
          <w:numId w:val="11"/>
        </w:numPr>
      </w:pPr>
      <w:hyperlink r:id="rId66">
        <w:r>
          <w:rPr>
            <w:rStyle w:val="Hyperlink"/>
            <w:rFonts w:ascii="Arial" w:hAnsi="Arial" w:cs="Arial"/>
          </w:rPr>
          <w:t>RCGP</w:t>
        </w:r>
      </w:hyperlink>
      <w:r>
        <w:rPr>
          <w:rFonts w:ascii="Arial" w:hAnsi="Arial" w:cs="Arial"/>
        </w:rPr>
        <w:t xml:space="preserve"> e-Learning on the new anaphylaxis guidelines dated December 2020</w:t>
      </w:r>
    </w:p>
    <w:p w14:paraId="3E9C1102" w14:textId="77777777" w:rsidR="00B52E44" w:rsidRDefault="00000000">
      <w:pPr>
        <w:pStyle w:val="ListParagraph"/>
        <w:numPr>
          <w:ilvl w:val="0"/>
          <w:numId w:val="11"/>
        </w:numPr>
        <w:rPr>
          <w:rFonts w:ascii="Arial" w:hAnsi="Arial" w:cs="Arial"/>
        </w:rPr>
      </w:pPr>
      <w:hyperlink r:id="rId67">
        <w:r>
          <w:rPr>
            <w:rStyle w:val="Hyperlink"/>
            <w:rFonts w:ascii="Arial" w:hAnsi="Arial" w:cs="Arial"/>
          </w:rPr>
          <w:t>Clinical guidance document – Allergies, intolerances and sensitivities</w:t>
        </w:r>
      </w:hyperlink>
      <w:r>
        <w:rPr>
          <w:rStyle w:val="Hyperlink"/>
          <w:rFonts w:ascii="Arial" w:hAnsi="Arial" w:cs="Arial"/>
          <w:u w:val="none"/>
        </w:rPr>
        <w:t xml:space="preserve"> </w:t>
      </w:r>
      <w:r>
        <w:rPr>
          <w:rFonts w:ascii="Arial" w:hAnsi="Arial" w:cs="Arial"/>
        </w:rPr>
        <w:t xml:space="preserve">alludes to the management of anaphylaxis </w:t>
      </w:r>
    </w:p>
    <w:p w14:paraId="04454961" w14:textId="77777777" w:rsidR="00B52E44" w:rsidRDefault="00000000">
      <w:pPr>
        <w:pStyle w:val="ListParagraph"/>
        <w:numPr>
          <w:ilvl w:val="0"/>
          <w:numId w:val="11"/>
        </w:numPr>
      </w:pPr>
      <w:r>
        <w:rPr>
          <w:rFonts w:ascii="Arial" w:hAnsi="Arial" w:cs="Arial"/>
        </w:rPr>
        <w:t xml:space="preserve">For anaphylaxis in children support, see </w:t>
      </w:r>
      <w:hyperlink r:id="rId68">
        <w:r>
          <w:rPr>
            <w:rStyle w:val="Hyperlink"/>
            <w:rFonts w:ascii="Arial" w:hAnsi="Arial" w:cs="Arial"/>
          </w:rPr>
          <w:t>www.sparepensinschools.uk</w:t>
        </w:r>
      </w:hyperlink>
    </w:p>
    <w:p w14:paraId="711CC4EF" w14:textId="77777777" w:rsidR="00B52E44" w:rsidRDefault="00000000">
      <w:pPr>
        <w:pStyle w:val="Heading1"/>
        <w:keepLines/>
        <w:pBdr>
          <w:bottom w:val="single" w:sz="4" w:space="1" w:color="595959"/>
        </w:pBdr>
        <w:spacing w:before="360" w:after="160" w:line="259" w:lineRule="auto"/>
        <w:rPr>
          <w:sz w:val="28"/>
          <w:szCs w:val="28"/>
        </w:rPr>
      </w:pPr>
      <w:bookmarkStart w:id="280" w:name="_Toc59459593"/>
      <w:bookmarkStart w:id="281" w:name="_Toc59460767"/>
      <w:bookmarkStart w:id="282" w:name="_Toc59460113"/>
      <w:bookmarkStart w:id="283" w:name="_Toc119930255"/>
      <w:bookmarkEnd w:id="280"/>
      <w:bookmarkEnd w:id="281"/>
      <w:bookmarkEnd w:id="282"/>
      <w:r>
        <w:rPr>
          <w:sz w:val="28"/>
          <w:szCs w:val="28"/>
        </w:rPr>
        <w:t>Summary</w:t>
      </w:r>
      <w:bookmarkEnd w:id="283"/>
    </w:p>
    <w:p w14:paraId="77BBF597" w14:textId="77777777" w:rsidR="00B52E44" w:rsidRDefault="00B52E44">
      <w:pPr>
        <w:rPr>
          <w:rFonts w:ascii="Arial" w:hAnsi="Arial" w:cs="Arial"/>
        </w:rPr>
      </w:pPr>
    </w:p>
    <w:p w14:paraId="00C989EF" w14:textId="7CACA593" w:rsidR="00B52E44" w:rsidRDefault="00000000">
      <w:r>
        <w:rPr>
          <w:rFonts w:ascii="Arial" w:hAnsi="Arial" w:cs="Arial"/>
        </w:rPr>
        <w:t xml:space="preserve">All staff have an essential role to play in identifying, responding to and managing medical emergencies at </w:t>
      </w:r>
      <w:r w:rsidR="00542C91">
        <w:rPr>
          <w:rFonts w:ascii="Arial" w:hAnsi="Arial" w:cs="Arial"/>
        </w:rPr>
        <w:t>Sheerwater Health Centre</w:t>
      </w:r>
      <w:r>
        <w:rPr>
          <w:rFonts w:ascii="Arial" w:hAnsi="Arial" w:cs="Arial"/>
        </w:rPr>
        <w:t>, and therefore training is an essential component to ensure an appropriate response to a medical emergency.</w:t>
      </w:r>
    </w:p>
    <w:p w14:paraId="4EBD54D7" w14:textId="77777777" w:rsidR="00B52E44" w:rsidRDefault="00B52E44">
      <w:pPr>
        <w:rPr>
          <w:rFonts w:ascii="Arial" w:hAnsi="Arial" w:cs="Arial"/>
        </w:rPr>
      </w:pPr>
    </w:p>
    <w:p w14:paraId="506C8CBB" w14:textId="77777777" w:rsidR="00B52E44" w:rsidRDefault="00000000">
      <w:pPr>
        <w:rPr>
          <w:rFonts w:ascii="Arial" w:hAnsi="Arial" w:cs="Arial"/>
        </w:rPr>
        <w:sectPr w:rsidR="00B52E44">
          <w:headerReference w:type="default" r:id="rId69"/>
          <w:footerReference w:type="default" r:id="rId70"/>
          <w:pgSz w:w="11906" w:h="16820"/>
          <w:pgMar w:top="1440" w:right="1797" w:bottom="1440" w:left="1797" w:header="709" w:footer="709" w:gutter="0"/>
          <w:cols w:space="720"/>
          <w:formProt w:val="0"/>
          <w:docGrid w:linePitch="360"/>
        </w:sectPr>
      </w:pPr>
      <w:r>
        <w:rPr>
          <w:rFonts w:ascii="Arial" w:hAnsi="Arial" w:cs="Arial"/>
        </w:rPr>
        <w:t>Early recognition and summoning help are key if further distress and harm are to be prevented in medical emergencies.</w:t>
      </w:r>
    </w:p>
    <w:p w14:paraId="6F5FB1F4" w14:textId="77777777" w:rsidR="00B52E44" w:rsidRDefault="00B52E44">
      <w:pPr>
        <w:jc w:val="center"/>
        <w:rPr>
          <w:rFonts w:ascii="Arial" w:hAnsi="Arial" w:cs="Arial"/>
        </w:rPr>
      </w:pPr>
    </w:p>
    <w:p w14:paraId="453ADD8B" w14:textId="77777777" w:rsidR="00B52E44" w:rsidRDefault="00000000">
      <w:pPr>
        <w:pStyle w:val="Heading1"/>
        <w:keepLines/>
        <w:numPr>
          <w:ilvl w:val="0"/>
          <w:numId w:val="0"/>
        </w:numPr>
        <w:pBdr>
          <w:bottom w:val="single" w:sz="4" w:space="1" w:color="595959"/>
        </w:pBdr>
        <w:spacing w:before="0" w:after="160" w:line="259" w:lineRule="auto"/>
        <w:rPr>
          <w:sz w:val="28"/>
          <w:szCs w:val="28"/>
        </w:rPr>
      </w:pPr>
      <w:bookmarkStart w:id="284" w:name="_Annex_R_–"/>
      <w:bookmarkStart w:id="285" w:name="_Annex_A_–"/>
      <w:bookmarkStart w:id="286" w:name="_Annex_Q_–"/>
      <w:bookmarkStart w:id="287" w:name="_Toc119930256"/>
      <w:bookmarkEnd w:id="284"/>
      <w:bookmarkEnd w:id="285"/>
      <w:bookmarkEnd w:id="286"/>
      <w:r>
        <w:rPr>
          <w:sz w:val="28"/>
          <w:szCs w:val="28"/>
        </w:rPr>
        <w:t>Annex A – Emergency equipment checklist</w:t>
      </w:r>
      <w:bookmarkEnd w:id="287"/>
    </w:p>
    <w:p w14:paraId="7E51F9BB" w14:textId="77777777" w:rsidR="00B52E44" w:rsidRDefault="00B52E44">
      <w:pPr>
        <w:jc w:val="center"/>
        <w:rPr>
          <w:rFonts w:ascii="Arial" w:hAnsi="Arial" w:cs="Arial"/>
        </w:rPr>
      </w:pPr>
    </w:p>
    <w:p w14:paraId="29E66BC7" w14:textId="77777777" w:rsidR="00B52E44" w:rsidRDefault="00000000">
      <w:pPr>
        <w:pStyle w:val="NormalWeb"/>
        <w:shd w:val="clear" w:color="auto" w:fill="FFFFFF"/>
        <w:spacing w:before="0" w:after="0" w:line="336" w:lineRule="atLeast"/>
        <w:rPr>
          <w:rFonts w:ascii="Arial" w:eastAsia="Calibri" w:hAnsi="Arial" w:cs="Arial"/>
          <w:sz w:val="22"/>
          <w:szCs w:val="22"/>
          <w:lang w:eastAsia="en-US"/>
        </w:rPr>
      </w:pPr>
      <w:r>
        <w:rPr>
          <w:rFonts w:ascii="Arial" w:eastAsia="Calibri" w:hAnsi="Arial" w:cs="Arial"/>
          <w:sz w:val="22"/>
          <w:szCs w:val="22"/>
          <w:lang w:eastAsia="en-US"/>
        </w:rPr>
        <w:t>Date of check…………………………………    Checked by………………………………</w:t>
      </w:r>
    </w:p>
    <w:p w14:paraId="07C17A0D" w14:textId="77777777" w:rsidR="00B52E44" w:rsidRDefault="00B52E44">
      <w:pPr>
        <w:pStyle w:val="NormalWeb"/>
        <w:shd w:val="clear" w:color="auto" w:fill="FFFFFF"/>
        <w:spacing w:before="0" w:after="0" w:line="336" w:lineRule="atLeast"/>
        <w:jc w:val="center"/>
        <w:rPr>
          <w:rFonts w:ascii="Calibri" w:eastAsia="Calibri" w:hAnsi="Calibri" w:cs="Arial"/>
          <w:lang w:eastAsia="en-US"/>
        </w:rPr>
      </w:pPr>
    </w:p>
    <w:tbl>
      <w:tblPr>
        <w:tblW w:w="5000" w:type="pct"/>
        <w:tblLayout w:type="fixed"/>
        <w:tblLook w:val="0000" w:firstRow="0" w:lastRow="0" w:firstColumn="0" w:lastColumn="0" w:noHBand="0" w:noVBand="0"/>
      </w:tblPr>
      <w:tblGrid>
        <w:gridCol w:w="3565"/>
        <w:gridCol w:w="3093"/>
        <w:gridCol w:w="2974"/>
        <w:gridCol w:w="2128"/>
        <w:gridCol w:w="2170"/>
      </w:tblGrid>
      <w:tr w:rsidR="00B52E44" w14:paraId="70F41B59" w14:textId="77777777">
        <w:tc>
          <w:tcPr>
            <w:tcW w:w="3568" w:type="dxa"/>
            <w:tcBorders>
              <w:top w:val="single" w:sz="4" w:space="0" w:color="000000"/>
              <w:left w:val="single" w:sz="4" w:space="0" w:color="000000"/>
              <w:bottom w:val="single" w:sz="4" w:space="0" w:color="000000"/>
              <w:right w:val="single" w:sz="4" w:space="0" w:color="000000"/>
            </w:tcBorders>
            <w:shd w:val="clear" w:color="auto" w:fill="4472C4"/>
          </w:tcPr>
          <w:p w14:paraId="24740683" w14:textId="77777777" w:rsidR="00B52E44" w:rsidRDefault="00000000">
            <w:pPr>
              <w:pStyle w:val="NormalWeb"/>
              <w:widowControl w:val="0"/>
              <w:spacing w:before="120" w:after="120"/>
              <w:rPr>
                <w:rFonts w:ascii="Arial" w:eastAsia="Calibri" w:hAnsi="Arial" w:cs="Arial"/>
                <w:b/>
                <w:color w:val="FFFFFF"/>
                <w:lang w:eastAsia="en-US"/>
              </w:rPr>
            </w:pPr>
            <w:r>
              <w:rPr>
                <w:rFonts w:ascii="Arial" w:eastAsia="Calibri" w:hAnsi="Arial" w:cs="Arial"/>
                <w:b/>
                <w:color w:val="FFFFFF"/>
                <w:lang w:eastAsia="en-US"/>
              </w:rPr>
              <w:t>Equipment details</w:t>
            </w:r>
          </w:p>
        </w:tc>
        <w:tc>
          <w:tcPr>
            <w:tcW w:w="3095" w:type="dxa"/>
            <w:tcBorders>
              <w:top w:val="single" w:sz="4" w:space="0" w:color="000000"/>
              <w:left w:val="single" w:sz="4" w:space="0" w:color="000000"/>
              <w:bottom w:val="single" w:sz="4" w:space="0" w:color="000000"/>
              <w:right w:val="single" w:sz="4" w:space="0" w:color="000000"/>
            </w:tcBorders>
            <w:shd w:val="clear" w:color="auto" w:fill="4472C4"/>
          </w:tcPr>
          <w:p w14:paraId="122A9580" w14:textId="77777777" w:rsidR="00B52E44" w:rsidRDefault="00000000">
            <w:pPr>
              <w:pStyle w:val="NormalWeb"/>
              <w:widowControl w:val="0"/>
              <w:spacing w:before="120" w:after="120"/>
              <w:rPr>
                <w:rFonts w:ascii="Arial" w:eastAsia="Calibri" w:hAnsi="Arial" w:cs="Arial"/>
                <w:b/>
                <w:color w:val="FFFFFF"/>
                <w:lang w:eastAsia="en-US"/>
              </w:rPr>
            </w:pPr>
            <w:r>
              <w:rPr>
                <w:rFonts w:ascii="Arial" w:eastAsia="Calibri" w:hAnsi="Arial" w:cs="Arial"/>
                <w:b/>
                <w:color w:val="FFFFFF"/>
                <w:lang w:eastAsia="en-US"/>
              </w:rPr>
              <w:t>Make and serial number</w:t>
            </w:r>
          </w:p>
        </w:tc>
        <w:tc>
          <w:tcPr>
            <w:tcW w:w="2976" w:type="dxa"/>
            <w:tcBorders>
              <w:top w:val="single" w:sz="4" w:space="0" w:color="000000"/>
              <w:left w:val="single" w:sz="4" w:space="0" w:color="000000"/>
              <w:bottom w:val="single" w:sz="4" w:space="0" w:color="000000"/>
              <w:right w:val="single" w:sz="4" w:space="0" w:color="000000"/>
            </w:tcBorders>
            <w:shd w:val="clear" w:color="auto" w:fill="4472C4"/>
          </w:tcPr>
          <w:p w14:paraId="06B6150A" w14:textId="77777777" w:rsidR="00B52E44" w:rsidRDefault="00000000">
            <w:pPr>
              <w:pStyle w:val="NormalWeb"/>
              <w:widowControl w:val="0"/>
              <w:spacing w:before="120" w:after="120"/>
              <w:rPr>
                <w:rFonts w:ascii="Arial" w:eastAsia="Calibri" w:hAnsi="Arial" w:cs="Arial"/>
                <w:b/>
                <w:color w:val="FFFFFF"/>
                <w:lang w:eastAsia="en-US"/>
              </w:rPr>
            </w:pPr>
            <w:r>
              <w:rPr>
                <w:rFonts w:ascii="Arial" w:eastAsia="Calibri" w:hAnsi="Arial" w:cs="Arial"/>
                <w:b/>
                <w:color w:val="FFFFFF"/>
                <w:lang w:eastAsia="en-US"/>
              </w:rPr>
              <w:t>Location</w:t>
            </w:r>
          </w:p>
        </w:tc>
        <w:tc>
          <w:tcPr>
            <w:tcW w:w="2129" w:type="dxa"/>
            <w:tcBorders>
              <w:top w:val="single" w:sz="4" w:space="0" w:color="000000"/>
              <w:left w:val="single" w:sz="4" w:space="0" w:color="000000"/>
              <w:bottom w:val="single" w:sz="4" w:space="0" w:color="000000"/>
              <w:right w:val="single" w:sz="4" w:space="0" w:color="000000"/>
            </w:tcBorders>
            <w:shd w:val="clear" w:color="auto" w:fill="4472C4"/>
          </w:tcPr>
          <w:p w14:paraId="1251C354" w14:textId="77777777" w:rsidR="00B52E44" w:rsidRDefault="00000000">
            <w:pPr>
              <w:pStyle w:val="NormalWeb"/>
              <w:widowControl w:val="0"/>
              <w:spacing w:before="120" w:after="120"/>
              <w:rPr>
                <w:rFonts w:ascii="Arial" w:eastAsia="Calibri" w:hAnsi="Arial" w:cs="Arial"/>
                <w:b/>
                <w:color w:val="FFFFFF"/>
                <w:lang w:eastAsia="en-US"/>
              </w:rPr>
            </w:pPr>
            <w:r>
              <w:rPr>
                <w:rFonts w:ascii="Arial" w:eastAsia="Calibri" w:hAnsi="Arial" w:cs="Arial"/>
                <w:b/>
                <w:color w:val="FFFFFF"/>
                <w:lang w:eastAsia="en-US"/>
              </w:rPr>
              <w:t>Expiry date</w:t>
            </w:r>
          </w:p>
        </w:tc>
        <w:tc>
          <w:tcPr>
            <w:tcW w:w="2172" w:type="dxa"/>
            <w:tcBorders>
              <w:top w:val="single" w:sz="4" w:space="0" w:color="000000"/>
              <w:left w:val="single" w:sz="4" w:space="0" w:color="000000"/>
              <w:bottom w:val="single" w:sz="4" w:space="0" w:color="000000"/>
              <w:right w:val="single" w:sz="4" w:space="0" w:color="000000"/>
            </w:tcBorders>
            <w:shd w:val="clear" w:color="auto" w:fill="4472C4"/>
          </w:tcPr>
          <w:p w14:paraId="65BF24D0" w14:textId="77777777" w:rsidR="00B52E44" w:rsidRDefault="00000000">
            <w:pPr>
              <w:pStyle w:val="NormalWeb"/>
              <w:widowControl w:val="0"/>
              <w:spacing w:before="120" w:after="120"/>
              <w:ind w:right="-160"/>
              <w:rPr>
                <w:rFonts w:ascii="Arial" w:eastAsia="Calibri" w:hAnsi="Arial" w:cs="Arial"/>
                <w:b/>
                <w:color w:val="FFFFFF"/>
                <w:lang w:eastAsia="en-US"/>
              </w:rPr>
            </w:pPr>
            <w:r>
              <w:rPr>
                <w:rFonts w:ascii="Arial" w:eastAsia="Calibri" w:hAnsi="Arial" w:cs="Arial"/>
                <w:b/>
                <w:color w:val="FFFFFF"/>
                <w:lang w:eastAsia="en-US"/>
              </w:rPr>
              <w:t>Calibration date</w:t>
            </w:r>
          </w:p>
        </w:tc>
      </w:tr>
      <w:tr w:rsidR="00B52E44" w14:paraId="4EEBB752" w14:textId="77777777">
        <w:tc>
          <w:tcPr>
            <w:tcW w:w="3568" w:type="dxa"/>
            <w:tcBorders>
              <w:top w:val="single" w:sz="4" w:space="0" w:color="000000"/>
              <w:left w:val="single" w:sz="4" w:space="0" w:color="000000"/>
              <w:bottom w:val="single" w:sz="4" w:space="0" w:color="000000"/>
              <w:right w:val="single" w:sz="4" w:space="0" w:color="000000"/>
            </w:tcBorders>
          </w:tcPr>
          <w:p w14:paraId="5FCA12BA"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AED (Defibrillator)</w:t>
            </w:r>
          </w:p>
        </w:tc>
        <w:tc>
          <w:tcPr>
            <w:tcW w:w="3095" w:type="dxa"/>
            <w:tcBorders>
              <w:top w:val="single" w:sz="4" w:space="0" w:color="000000"/>
              <w:left w:val="single" w:sz="4" w:space="0" w:color="000000"/>
              <w:bottom w:val="single" w:sz="4" w:space="0" w:color="000000"/>
              <w:right w:val="single" w:sz="4" w:space="0" w:color="000000"/>
            </w:tcBorders>
          </w:tcPr>
          <w:p w14:paraId="663D4AE6"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586F57E2"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428B5C62"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7763E8ED"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208DA36D" w14:textId="77777777">
        <w:tc>
          <w:tcPr>
            <w:tcW w:w="3568" w:type="dxa"/>
            <w:tcBorders>
              <w:top w:val="single" w:sz="4" w:space="0" w:color="000000"/>
              <w:left w:val="single" w:sz="4" w:space="0" w:color="000000"/>
              <w:bottom w:val="single" w:sz="4" w:space="0" w:color="000000"/>
              <w:right w:val="single" w:sz="4" w:space="0" w:color="000000"/>
            </w:tcBorders>
          </w:tcPr>
          <w:p w14:paraId="43E49BEE"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 xml:space="preserve">AED pads (Adult and </w:t>
            </w:r>
            <w:proofErr w:type="spellStart"/>
            <w:r>
              <w:rPr>
                <w:rFonts w:ascii="Arial" w:eastAsia="Calibri" w:hAnsi="Arial" w:cs="Arial"/>
                <w:sz w:val="22"/>
                <w:szCs w:val="22"/>
                <w:lang w:eastAsia="en-US"/>
              </w:rPr>
              <w:t>Paed</w:t>
            </w:r>
            <w:proofErr w:type="spellEnd"/>
            <w:r>
              <w:rPr>
                <w:rFonts w:ascii="Arial" w:eastAsia="Calibri" w:hAnsi="Arial" w:cs="Arial"/>
                <w:sz w:val="22"/>
                <w:szCs w:val="22"/>
                <w:lang w:eastAsia="en-US"/>
              </w:rPr>
              <w:t>)</w:t>
            </w:r>
          </w:p>
        </w:tc>
        <w:tc>
          <w:tcPr>
            <w:tcW w:w="3095" w:type="dxa"/>
            <w:tcBorders>
              <w:top w:val="single" w:sz="4" w:space="0" w:color="000000"/>
              <w:left w:val="single" w:sz="4" w:space="0" w:color="000000"/>
              <w:bottom w:val="single" w:sz="4" w:space="0" w:color="000000"/>
              <w:right w:val="single" w:sz="4" w:space="0" w:color="000000"/>
            </w:tcBorders>
          </w:tcPr>
          <w:p w14:paraId="343EDCD1"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6AAA1238"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1989D573"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57CE4DDB"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602B3432" w14:textId="77777777">
        <w:tc>
          <w:tcPr>
            <w:tcW w:w="3568" w:type="dxa"/>
            <w:tcBorders>
              <w:top w:val="single" w:sz="4" w:space="0" w:color="000000"/>
              <w:left w:val="single" w:sz="4" w:space="0" w:color="000000"/>
              <w:bottom w:val="single" w:sz="4" w:space="0" w:color="000000"/>
              <w:right w:val="single" w:sz="4" w:space="0" w:color="000000"/>
            </w:tcBorders>
          </w:tcPr>
          <w:p w14:paraId="74C35068"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AED battery</w:t>
            </w:r>
          </w:p>
        </w:tc>
        <w:tc>
          <w:tcPr>
            <w:tcW w:w="3095" w:type="dxa"/>
            <w:tcBorders>
              <w:top w:val="single" w:sz="4" w:space="0" w:color="000000"/>
              <w:left w:val="single" w:sz="4" w:space="0" w:color="000000"/>
              <w:bottom w:val="single" w:sz="4" w:space="0" w:color="000000"/>
              <w:right w:val="single" w:sz="4" w:space="0" w:color="000000"/>
            </w:tcBorders>
          </w:tcPr>
          <w:p w14:paraId="03F08E63"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3E930EF5"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2AB1A02D"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7B5AA9A6"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63F56E68" w14:textId="77777777">
        <w:tc>
          <w:tcPr>
            <w:tcW w:w="3568" w:type="dxa"/>
            <w:tcBorders>
              <w:top w:val="single" w:sz="4" w:space="0" w:color="000000"/>
              <w:left w:val="single" w:sz="4" w:space="0" w:color="000000"/>
              <w:bottom w:val="single" w:sz="4" w:space="0" w:color="000000"/>
              <w:right w:val="single" w:sz="4" w:space="0" w:color="000000"/>
            </w:tcBorders>
          </w:tcPr>
          <w:p w14:paraId="747E5BC5"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Oxygen and regulator</w:t>
            </w:r>
          </w:p>
        </w:tc>
        <w:tc>
          <w:tcPr>
            <w:tcW w:w="3095" w:type="dxa"/>
            <w:tcBorders>
              <w:top w:val="single" w:sz="4" w:space="0" w:color="000000"/>
              <w:left w:val="single" w:sz="4" w:space="0" w:color="000000"/>
              <w:bottom w:val="single" w:sz="4" w:space="0" w:color="000000"/>
              <w:right w:val="single" w:sz="4" w:space="0" w:color="000000"/>
            </w:tcBorders>
          </w:tcPr>
          <w:p w14:paraId="2E938D34"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6D9CC873"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32C2C556"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75193AE6"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1B021385" w14:textId="77777777">
        <w:tc>
          <w:tcPr>
            <w:tcW w:w="3568" w:type="dxa"/>
            <w:tcBorders>
              <w:top w:val="single" w:sz="4" w:space="0" w:color="000000"/>
              <w:left w:val="single" w:sz="4" w:space="0" w:color="000000"/>
              <w:bottom w:val="single" w:sz="4" w:space="0" w:color="000000"/>
              <w:right w:val="single" w:sz="4" w:space="0" w:color="000000"/>
            </w:tcBorders>
          </w:tcPr>
          <w:p w14:paraId="59997880"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Adult and paediatric masks</w:t>
            </w:r>
          </w:p>
        </w:tc>
        <w:tc>
          <w:tcPr>
            <w:tcW w:w="3095" w:type="dxa"/>
            <w:tcBorders>
              <w:top w:val="single" w:sz="4" w:space="0" w:color="000000"/>
              <w:left w:val="single" w:sz="4" w:space="0" w:color="000000"/>
              <w:bottom w:val="single" w:sz="4" w:space="0" w:color="000000"/>
              <w:right w:val="single" w:sz="4" w:space="0" w:color="000000"/>
            </w:tcBorders>
          </w:tcPr>
          <w:p w14:paraId="6FB0B5D7"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693CF629"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62BC62E0"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702A1F5D"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0C4394FE" w14:textId="77777777">
        <w:tc>
          <w:tcPr>
            <w:tcW w:w="3568" w:type="dxa"/>
            <w:tcBorders>
              <w:top w:val="single" w:sz="4" w:space="0" w:color="000000"/>
              <w:left w:val="single" w:sz="4" w:space="0" w:color="000000"/>
              <w:bottom w:val="single" w:sz="4" w:space="0" w:color="000000"/>
              <w:right w:val="single" w:sz="4" w:space="0" w:color="000000"/>
            </w:tcBorders>
          </w:tcPr>
          <w:p w14:paraId="39B39BF9"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Airways</w:t>
            </w:r>
          </w:p>
        </w:tc>
        <w:tc>
          <w:tcPr>
            <w:tcW w:w="3095" w:type="dxa"/>
            <w:tcBorders>
              <w:top w:val="single" w:sz="4" w:space="0" w:color="000000"/>
              <w:left w:val="single" w:sz="4" w:space="0" w:color="000000"/>
              <w:bottom w:val="single" w:sz="4" w:space="0" w:color="000000"/>
              <w:right w:val="single" w:sz="4" w:space="0" w:color="000000"/>
            </w:tcBorders>
          </w:tcPr>
          <w:p w14:paraId="3A738450"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7CA7B744"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492EB379"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1FA807E5"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3C05B4F4" w14:textId="77777777">
        <w:tc>
          <w:tcPr>
            <w:tcW w:w="3568" w:type="dxa"/>
            <w:tcBorders>
              <w:top w:val="single" w:sz="4" w:space="0" w:color="000000"/>
              <w:left w:val="single" w:sz="4" w:space="0" w:color="000000"/>
              <w:bottom w:val="single" w:sz="4" w:space="0" w:color="000000"/>
              <w:right w:val="single" w:sz="4" w:space="0" w:color="000000"/>
            </w:tcBorders>
          </w:tcPr>
          <w:p w14:paraId="17B77B9D"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Syringes/needles (2ml/5ml)</w:t>
            </w:r>
          </w:p>
        </w:tc>
        <w:tc>
          <w:tcPr>
            <w:tcW w:w="3095" w:type="dxa"/>
            <w:tcBorders>
              <w:top w:val="single" w:sz="4" w:space="0" w:color="000000"/>
              <w:left w:val="single" w:sz="4" w:space="0" w:color="000000"/>
              <w:bottom w:val="single" w:sz="4" w:space="0" w:color="000000"/>
              <w:right w:val="single" w:sz="4" w:space="0" w:color="000000"/>
            </w:tcBorders>
          </w:tcPr>
          <w:p w14:paraId="750DF75F"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33D7E056"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7BC62193"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7B02F88A"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7818AF8D" w14:textId="77777777">
        <w:tc>
          <w:tcPr>
            <w:tcW w:w="3568" w:type="dxa"/>
            <w:tcBorders>
              <w:top w:val="single" w:sz="4" w:space="0" w:color="000000"/>
              <w:left w:val="single" w:sz="4" w:space="0" w:color="000000"/>
              <w:bottom w:val="single" w:sz="4" w:space="0" w:color="000000"/>
              <w:right w:val="single" w:sz="4" w:space="0" w:color="000000"/>
            </w:tcBorders>
          </w:tcPr>
          <w:p w14:paraId="41FBC0FE"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Cannulas</w:t>
            </w:r>
          </w:p>
        </w:tc>
        <w:tc>
          <w:tcPr>
            <w:tcW w:w="3095" w:type="dxa"/>
            <w:tcBorders>
              <w:top w:val="single" w:sz="4" w:space="0" w:color="000000"/>
              <w:left w:val="single" w:sz="4" w:space="0" w:color="000000"/>
              <w:bottom w:val="single" w:sz="4" w:space="0" w:color="000000"/>
              <w:right w:val="single" w:sz="4" w:space="0" w:color="000000"/>
            </w:tcBorders>
          </w:tcPr>
          <w:p w14:paraId="7227ADA2"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773D0620"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7B20F794"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3AC6CFA5"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228841E6" w14:textId="77777777">
        <w:tc>
          <w:tcPr>
            <w:tcW w:w="3568" w:type="dxa"/>
            <w:tcBorders>
              <w:top w:val="single" w:sz="4" w:space="0" w:color="000000"/>
              <w:left w:val="single" w:sz="4" w:space="0" w:color="000000"/>
              <w:bottom w:val="single" w:sz="4" w:space="0" w:color="000000"/>
              <w:right w:val="single" w:sz="4" w:space="0" w:color="000000"/>
            </w:tcBorders>
          </w:tcPr>
          <w:p w14:paraId="6613A06B"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Sphygmomanometer</w:t>
            </w:r>
          </w:p>
        </w:tc>
        <w:tc>
          <w:tcPr>
            <w:tcW w:w="3095" w:type="dxa"/>
            <w:tcBorders>
              <w:top w:val="single" w:sz="4" w:space="0" w:color="000000"/>
              <w:left w:val="single" w:sz="4" w:space="0" w:color="000000"/>
              <w:bottom w:val="single" w:sz="4" w:space="0" w:color="000000"/>
              <w:right w:val="single" w:sz="4" w:space="0" w:color="000000"/>
            </w:tcBorders>
          </w:tcPr>
          <w:p w14:paraId="19FE0DCD"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42643EA6"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1AC44398"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7661D729"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4A8AE14D" w14:textId="77777777">
        <w:tc>
          <w:tcPr>
            <w:tcW w:w="3568" w:type="dxa"/>
            <w:tcBorders>
              <w:top w:val="single" w:sz="4" w:space="0" w:color="000000"/>
              <w:left w:val="single" w:sz="4" w:space="0" w:color="000000"/>
              <w:bottom w:val="single" w:sz="4" w:space="0" w:color="000000"/>
              <w:right w:val="single" w:sz="4" w:space="0" w:color="000000"/>
            </w:tcBorders>
          </w:tcPr>
          <w:p w14:paraId="6054CDB9"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Cuffs (various sizes)</w:t>
            </w:r>
          </w:p>
        </w:tc>
        <w:tc>
          <w:tcPr>
            <w:tcW w:w="3095" w:type="dxa"/>
            <w:tcBorders>
              <w:top w:val="single" w:sz="4" w:space="0" w:color="000000"/>
              <w:left w:val="single" w:sz="4" w:space="0" w:color="000000"/>
              <w:bottom w:val="single" w:sz="4" w:space="0" w:color="000000"/>
              <w:right w:val="single" w:sz="4" w:space="0" w:color="000000"/>
            </w:tcBorders>
          </w:tcPr>
          <w:p w14:paraId="306522C0"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32F2F2D9"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2D5B332B"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1EC6C546"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2FB16283" w14:textId="77777777">
        <w:tc>
          <w:tcPr>
            <w:tcW w:w="3568" w:type="dxa"/>
            <w:tcBorders>
              <w:top w:val="single" w:sz="4" w:space="0" w:color="000000"/>
              <w:left w:val="single" w:sz="4" w:space="0" w:color="000000"/>
              <w:bottom w:val="single" w:sz="4" w:space="0" w:color="000000"/>
              <w:right w:val="single" w:sz="4" w:space="0" w:color="000000"/>
            </w:tcBorders>
          </w:tcPr>
          <w:p w14:paraId="4CF21CC4"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Glucometer/lancets/test strips</w:t>
            </w:r>
          </w:p>
        </w:tc>
        <w:tc>
          <w:tcPr>
            <w:tcW w:w="3095" w:type="dxa"/>
            <w:tcBorders>
              <w:top w:val="single" w:sz="4" w:space="0" w:color="000000"/>
              <w:left w:val="single" w:sz="4" w:space="0" w:color="000000"/>
              <w:bottom w:val="single" w:sz="4" w:space="0" w:color="000000"/>
              <w:right w:val="single" w:sz="4" w:space="0" w:color="000000"/>
            </w:tcBorders>
          </w:tcPr>
          <w:p w14:paraId="7F466437"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4A7F8A17"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19E174CA"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794A3A74"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6F8282FB" w14:textId="77777777">
        <w:tc>
          <w:tcPr>
            <w:tcW w:w="3568" w:type="dxa"/>
            <w:tcBorders>
              <w:top w:val="single" w:sz="4" w:space="0" w:color="000000"/>
              <w:left w:val="single" w:sz="4" w:space="0" w:color="000000"/>
              <w:bottom w:val="single" w:sz="4" w:space="0" w:color="000000"/>
              <w:right w:val="single" w:sz="4" w:space="0" w:color="000000"/>
            </w:tcBorders>
          </w:tcPr>
          <w:p w14:paraId="431D047F"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lastRenderedPageBreak/>
              <w:t>Thermometer</w:t>
            </w:r>
          </w:p>
        </w:tc>
        <w:tc>
          <w:tcPr>
            <w:tcW w:w="3095" w:type="dxa"/>
            <w:tcBorders>
              <w:top w:val="single" w:sz="4" w:space="0" w:color="000000"/>
              <w:left w:val="single" w:sz="4" w:space="0" w:color="000000"/>
              <w:bottom w:val="single" w:sz="4" w:space="0" w:color="000000"/>
              <w:right w:val="single" w:sz="4" w:space="0" w:color="000000"/>
            </w:tcBorders>
          </w:tcPr>
          <w:p w14:paraId="4B424BDC"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49651AF3"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46C7C8EC"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7973EE1B"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52C3D3EF" w14:textId="77777777">
        <w:tc>
          <w:tcPr>
            <w:tcW w:w="3568" w:type="dxa"/>
            <w:tcBorders>
              <w:top w:val="single" w:sz="4" w:space="0" w:color="000000"/>
              <w:left w:val="single" w:sz="4" w:space="0" w:color="000000"/>
              <w:bottom w:val="single" w:sz="4" w:space="0" w:color="000000"/>
              <w:right w:val="single" w:sz="4" w:space="0" w:color="000000"/>
            </w:tcBorders>
          </w:tcPr>
          <w:p w14:paraId="7CE7DD14"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Stethoscope</w:t>
            </w:r>
          </w:p>
        </w:tc>
        <w:tc>
          <w:tcPr>
            <w:tcW w:w="3095" w:type="dxa"/>
            <w:tcBorders>
              <w:top w:val="single" w:sz="4" w:space="0" w:color="000000"/>
              <w:left w:val="single" w:sz="4" w:space="0" w:color="000000"/>
              <w:bottom w:val="single" w:sz="4" w:space="0" w:color="000000"/>
              <w:right w:val="single" w:sz="4" w:space="0" w:color="000000"/>
            </w:tcBorders>
          </w:tcPr>
          <w:p w14:paraId="661938E1"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70A8103D"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7A83E1B4"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3076A5CF"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67638140" w14:textId="77777777">
        <w:tc>
          <w:tcPr>
            <w:tcW w:w="3568" w:type="dxa"/>
            <w:tcBorders>
              <w:top w:val="single" w:sz="4" w:space="0" w:color="000000"/>
              <w:left w:val="single" w:sz="4" w:space="0" w:color="000000"/>
              <w:bottom w:val="single" w:sz="4" w:space="0" w:color="000000"/>
              <w:right w:val="single" w:sz="4" w:space="0" w:color="000000"/>
            </w:tcBorders>
          </w:tcPr>
          <w:p w14:paraId="3DA65A95"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Tongue depressors</w:t>
            </w:r>
          </w:p>
        </w:tc>
        <w:tc>
          <w:tcPr>
            <w:tcW w:w="3095" w:type="dxa"/>
            <w:tcBorders>
              <w:top w:val="single" w:sz="4" w:space="0" w:color="000000"/>
              <w:left w:val="single" w:sz="4" w:space="0" w:color="000000"/>
              <w:bottom w:val="single" w:sz="4" w:space="0" w:color="000000"/>
              <w:right w:val="single" w:sz="4" w:space="0" w:color="000000"/>
            </w:tcBorders>
          </w:tcPr>
          <w:p w14:paraId="31EDC90B"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0A466658"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49D0EC0D"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6EFC7D65"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53126E95" w14:textId="77777777">
        <w:tc>
          <w:tcPr>
            <w:tcW w:w="3568" w:type="dxa"/>
            <w:tcBorders>
              <w:top w:val="single" w:sz="4" w:space="0" w:color="000000"/>
              <w:left w:val="single" w:sz="4" w:space="0" w:color="000000"/>
              <w:bottom w:val="single" w:sz="4" w:space="0" w:color="000000"/>
              <w:right w:val="single" w:sz="4" w:space="0" w:color="000000"/>
            </w:tcBorders>
          </w:tcPr>
          <w:p w14:paraId="6F62744D"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Diagnostic kit</w:t>
            </w:r>
          </w:p>
        </w:tc>
        <w:tc>
          <w:tcPr>
            <w:tcW w:w="3095" w:type="dxa"/>
            <w:tcBorders>
              <w:top w:val="single" w:sz="4" w:space="0" w:color="000000"/>
              <w:left w:val="single" w:sz="4" w:space="0" w:color="000000"/>
              <w:bottom w:val="single" w:sz="4" w:space="0" w:color="000000"/>
              <w:right w:val="single" w:sz="4" w:space="0" w:color="000000"/>
            </w:tcBorders>
          </w:tcPr>
          <w:p w14:paraId="2F149813"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441ACC2C"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53178176"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47CE5EAA"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36FFE17C" w14:textId="77777777">
        <w:tc>
          <w:tcPr>
            <w:tcW w:w="3568" w:type="dxa"/>
            <w:tcBorders>
              <w:top w:val="single" w:sz="4" w:space="0" w:color="000000"/>
              <w:left w:val="single" w:sz="4" w:space="0" w:color="000000"/>
              <w:bottom w:val="single" w:sz="4" w:space="0" w:color="000000"/>
              <w:right w:val="single" w:sz="4" w:space="0" w:color="000000"/>
            </w:tcBorders>
          </w:tcPr>
          <w:p w14:paraId="05292745"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Specimen bottles</w:t>
            </w:r>
          </w:p>
        </w:tc>
        <w:tc>
          <w:tcPr>
            <w:tcW w:w="3095" w:type="dxa"/>
            <w:tcBorders>
              <w:top w:val="single" w:sz="4" w:space="0" w:color="000000"/>
              <w:left w:val="single" w:sz="4" w:space="0" w:color="000000"/>
              <w:bottom w:val="single" w:sz="4" w:space="0" w:color="000000"/>
              <w:right w:val="single" w:sz="4" w:space="0" w:color="000000"/>
            </w:tcBorders>
          </w:tcPr>
          <w:p w14:paraId="16D42D14"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64D215C8"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6A9A785D"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43087867"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025DE829" w14:textId="77777777">
        <w:tc>
          <w:tcPr>
            <w:tcW w:w="3568" w:type="dxa"/>
            <w:tcBorders>
              <w:top w:val="single" w:sz="4" w:space="0" w:color="000000"/>
              <w:left w:val="single" w:sz="4" w:space="0" w:color="000000"/>
              <w:bottom w:val="single" w:sz="4" w:space="0" w:color="000000"/>
              <w:right w:val="single" w:sz="4" w:space="0" w:color="000000"/>
            </w:tcBorders>
          </w:tcPr>
          <w:p w14:paraId="117A1243"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Sharps box</w:t>
            </w:r>
          </w:p>
        </w:tc>
        <w:tc>
          <w:tcPr>
            <w:tcW w:w="3095" w:type="dxa"/>
            <w:tcBorders>
              <w:top w:val="single" w:sz="4" w:space="0" w:color="000000"/>
              <w:left w:val="single" w:sz="4" w:space="0" w:color="000000"/>
              <w:bottom w:val="single" w:sz="4" w:space="0" w:color="000000"/>
              <w:right w:val="single" w:sz="4" w:space="0" w:color="000000"/>
            </w:tcBorders>
          </w:tcPr>
          <w:p w14:paraId="131B615F"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1C732280"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07FF49B1"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67BABFD3"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52735833" w14:textId="77777777">
        <w:tc>
          <w:tcPr>
            <w:tcW w:w="3568" w:type="dxa"/>
            <w:tcBorders>
              <w:top w:val="single" w:sz="4" w:space="0" w:color="000000"/>
              <w:left w:val="single" w:sz="4" w:space="0" w:color="000000"/>
              <w:bottom w:val="single" w:sz="4" w:space="0" w:color="000000"/>
              <w:right w:val="single" w:sz="4" w:space="0" w:color="000000"/>
            </w:tcBorders>
          </w:tcPr>
          <w:p w14:paraId="67A00C96" w14:textId="77777777" w:rsidR="00B52E44" w:rsidRDefault="00000000">
            <w:pPr>
              <w:pStyle w:val="NormalWeb"/>
              <w:widowControl w:val="0"/>
              <w:spacing w:before="120" w:after="120"/>
              <w:rPr>
                <w:rFonts w:ascii="Arial" w:eastAsia="Calibri" w:hAnsi="Arial" w:cs="Arial"/>
                <w:sz w:val="22"/>
                <w:szCs w:val="22"/>
                <w:lang w:eastAsia="en-US"/>
              </w:rPr>
            </w:pPr>
            <w:proofErr w:type="spellStart"/>
            <w:r>
              <w:rPr>
                <w:rFonts w:ascii="Arial" w:eastAsia="Calibri" w:hAnsi="Arial" w:cs="Arial"/>
                <w:sz w:val="22"/>
                <w:szCs w:val="22"/>
                <w:lang w:eastAsia="en-US"/>
              </w:rPr>
              <w:t>Multistix</w:t>
            </w:r>
            <w:proofErr w:type="spellEnd"/>
          </w:p>
        </w:tc>
        <w:tc>
          <w:tcPr>
            <w:tcW w:w="3095" w:type="dxa"/>
            <w:tcBorders>
              <w:top w:val="single" w:sz="4" w:space="0" w:color="000000"/>
              <w:left w:val="single" w:sz="4" w:space="0" w:color="000000"/>
              <w:bottom w:val="single" w:sz="4" w:space="0" w:color="000000"/>
              <w:right w:val="single" w:sz="4" w:space="0" w:color="000000"/>
            </w:tcBorders>
          </w:tcPr>
          <w:p w14:paraId="020FD055"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33B7FE55"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34A4D83A"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3307EF47"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75F357AA" w14:textId="77777777">
        <w:tc>
          <w:tcPr>
            <w:tcW w:w="3568" w:type="dxa"/>
            <w:tcBorders>
              <w:top w:val="single" w:sz="4" w:space="0" w:color="000000"/>
              <w:left w:val="single" w:sz="4" w:space="0" w:color="000000"/>
              <w:bottom w:val="single" w:sz="4" w:space="0" w:color="000000"/>
              <w:right w:val="single" w:sz="4" w:space="0" w:color="000000"/>
            </w:tcBorders>
          </w:tcPr>
          <w:p w14:paraId="2E0B7B77"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Torch</w:t>
            </w:r>
          </w:p>
        </w:tc>
        <w:tc>
          <w:tcPr>
            <w:tcW w:w="3095" w:type="dxa"/>
            <w:tcBorders>
              <w:top w:val="single" w:sz="4" w:space="0" w:color="000000"/>
              <w:left w:val="single" w:sz="4" w:space="0" w:color="000000"/>
              <w:bottom w:val="single" w:sz="4" w:space="0" w:color="000000"/>
              <w:right w:val="single" w:sz="4" w:space="0" w:color="000000"/>
            </w:tcBorders>
          </w:tcPr>
          <w:p w14:paraId="098C3D08"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640E033E"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089F493A"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61C8F888"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3C5D79E1" w14:textId="77777777">
        <w:tc>
          <w:tcPr>
            <w:tcW w:w="3568" w:type="dxa"/>
            <w:tcBorders>
              <w:top w:val="single" w:sz="4" w:space="0" w:color="000000"/>
              <w:left w:val="single" w:sz="4" w:space="0" w:color="000000"/>
              <w:bottom w:val="single" w:sz="4" w:space="0" w:color="000000"/>
              <w:right w:val="single" w:sz="4" w:space="0" w:color="000000"/>
            </w:tcBorders>
          </w:tcPr>
          <w:p w14:paraId="137701EE"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Hand gel</w:t>
            </w:r>
          </w:p>
        </w:tc>
        <w:tc>
          <w:tcPr>
            <w:tcW w:w="3095" w:type="dxa"/>
            <w:tcBorders>
              <w:top w:val="single" w:sz="4" w:space="0" w:color="000000"/>
              <w:left w:val="single" w:sz="4" w:space="0" w:color="000000"/>
              <w:bottom w:val="single" w:sz="4" w:space="0" w:color="000000"/>
              <w:right w:val="single" w:sz="4" w:space="0" w:color="000000"/>
            </w:tcBorders>
          </w:tcPr>
          <w:p w14:paraId="5791D3F6"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107D6FAB"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3731AACB"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07720604"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4F58E753" w14:textId="77777777">
        <w:tc>
          <w:tcPr>
            <w:tcW w:w="3568" w:type="dxa"/>
            <w:tcBorders>
              <w:top w:val="single" w:sz="4" w:space="0" w:color="000000"/>
              <w:left w:val="single" w:sz="4" w:space="0" w:color="000000"/>
              <w:bottom w:val="single" w:sz="4" w:space="0" w:color="000000"/>
              <w:right w:val="single" w:sz="4" w:space="0" w:color="000000"/>
            </w:tcBorders>
          </w:tcPr>
          <w:p w14:paraId="69198FF1"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Pulse oximeter</w:t>
            </w:r>
          </w:p>
        </w:tc>
        <w:tc>
          <w:tcPr>
            <w:tcW w:w="3095" w:type="dxa"/>
            <w:tcBorders>
              <w:top w:val="single" w:sz="4" w:space="0" w:color="000000"/>
              <w:left w:val="single" w:sz="4" w:space="0" w:color="000000"/>
              <w:bottom w:val="single" w:sz="4" w:space="0" w:color="000000"/>
              <w:right w:val="single" w:sz="4" w:space="0" w:color="000000"/>
            </w:tcBorders>
          </w:tcPr>
          <w:p w14:paraId="14B3FD46"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58082F69"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4D0FA5D6"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6C59E2A6"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1683A433" w14:textId="77777777">
        <w:tc>
          <w:tcPr>
            <w:tcW w:w="3568" w:type="dxa"/>
            <w:tcBorders>
              <w:top w:val="single" w:sz="4" w:space="0" w:color="000000"/>
              <w:left w:val="single" w:sz="4" w:space="0" w:color="000000"/>
              <w:bottom w:val="single" w:sz="4" w:space="0" w:color="000000"/>
              <w:right w:val="single" w:sz="4" w:space="0" w:color="000000"/>
            </w:tcBorders>
          </w:tcPr>
          <w:p w14:paraId="20AF4015" w14:textId="77777777" w:rsidR="00B52E44" w:rsidRDefault="00000000">
            <w:pPr>
              <w:pStyle w:val="NormalWeb"/>
              <w:widowControl w:val="0"/>
              <w:spacing w:before="120" w:after="120"/>
              <w:rPr>
                <w:rFonts w:ascii="Arial" w:eastAsia="Calibri" w:hAnsi="Arial" w:cs="Arial"/>
                <w:sz w:val="22"/>
                <w:szCs w:val="22"/>
              </w:rPr>
            </w:pPr>
            <w:r>
              <w:rPr>
                <w:rFonts w:ascii="Arial" w:eastAsia="Calibri" w:hAnsi="Arial" w:cs="Arial"/>
                <w:sz w:val="22"/>
                <w:szCs w:val="22"/>
                <w:lang w:eastAsia="en-US"/>
              </w:rPr>
              <w:t>[</w:t>
            </w:r>
            <w:r>
              <w:rPr>
                <w:rFonts w:ascii="Arial" w:eastAsia="Calibri" w:hAnsi="Arial" w:cs="Arial"/>
                <w:sz w:val="22"/>
                <w:szCs w:val="22"/>
                <w:shd w:val="clear" w:color="auto" w:fill="FFFF00"/>
                <w:lang w:eastAsia="en-US"/>
              </w:rPr>
              <w:t>Add as appropriate</w:t>
            </w:r>
            <w:r>
              <w:rPr>
                <w:rFonts w:ascii="Arial" w:eastAsia="Calibri" w:hAnsi="Arial" w:cs="Arial"/>
                <w:sz w:val="22"/>
                <w:szCs w:val="22"/>
                <w:lang w:eastAsia="en-US"/>
              </w:rPr>
              <w:t>]</w:t>
            </w:r>
          </w:p>
        </w:tc>
        <w:tc>
          <w:tcPr>
            <w:tcW w:w="3095" w:type="dxa"/>
            <w:tcBorders>
              <w:top w:val="single" w:sz="4" w:space="0" w:color="000000"/>
              <w:left w:val="single" w:sz="4" w:space="0" w:color="000000"/>
              <w:bottom w:val="single" w:sz="4" w:space="0" w:color="000000"/>
              <w:right w:val="single" w:sz="4" w:space="0" w:color="000000"/>
            </w:tcBorders>
          </w:tcPr>
          <w:p w14:paraId="7E3A32CD"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19BBE620"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587812A5"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1170268D" w14:textId="77777777" w:rsidR="00B52E44" w:rsidRDefault="00B52E44">
            <w:pPr>
              <w:pStyle w:val="NormalWeb"/>
              <w:widowControl w:val="0"/>
              <w:spacing w:before="120" w:after="120"/>
              <w:jc w:val="center"/>
              <w:rPr>
                <w:rFonts w:ascii="Arial" w:eastAsia="Calibri" w:hAnsi="Arial" w:cs="Arial"/>
                <w:sz w:val="22"/>
                <w:szCs w:val="22"/>
                <w:lang w:eastAsia="en-US"/>
              </w:rPr>
            </w:pPr>
          </w:p>
        </w:tc>
      </w:tr>
    </w:tbl>
    <w:p w14:paraId="533EFC1D" w14:textId="77777777" w:rsidR="00B52E44" w:rsidRDefault="00B52E44">
      <w:pPr>
        <w:rPr>
          <w:rFonts w:ascii="Arial" w:hAnsi="Arial" w:cs="Arial"/>
        </w:rPr>
      </w:pPr>
      <w:bookmarkStart w:id="288" w:name="_Annex_R_–_1"/>
      <w:bookmarkEnd w:id="288"/>
    </w:p>
    <w:sectPr w:rsidR="00B52E44">
      <w:headerReference w:type="default" r:id="rId71"/>
      <w:footerReference w:type="default" r:id="rId72"/>
      <w:pgSz w:w="16820" w:h="11906" w:orient="landscape"/>
      <w:pgMar w:top="1800" w:right="1440" w:bottom="1800"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B111" w14:textId="77777777" w:rsidR="00F64758" w:rsidRDefault="00F64758">
      <w:r>
        <w:separator/>
      </w:r>
    </w:p>
  </w:endnote>
  <w:endnote w:type="continuationSeparator" w:id="0">
    <w:p w14:paraId="4E50E531" w14:textId="77777777" w:rsidR="00F64758" w:rsidRDefault="00F6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68D1" w14:textId="77777777" w:rsidR="00B52E44" w:rsidRDefault="00000000">
    <w:pPr>
      <w:pStyle w:val="Footer"/>
      <w:jc w:val="right"/>
    </w:pPr>
    <w:r>
      <w:fldChar w:fldCharType="begin"/>
    </w:r>
    <w:r>
      <w:instrText>PAGE</w:instrText>
    </w:r>
    <w:r>
      <w:fldChar w:fldCharType="separate"/>
    </w:r>
    <w:r>
      <w:t>14</w:t>
    </w:r>
    <w:r>
      <w:fldChar w:fldCharType="end"/>
    </w:r>
  </w:p>
  <w:p w14:paraId="4E02127C" w14:textId="77777777" w:rsidR="00B52E44" w:rsidRDefault="00B52E44">
    <w:pPr>
      <w:pStyle w:val="Footer"/>
      <w:ind w:left="1080"/>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18B3" w14:textId="77777777" w:rsidR="00B52E44" w:rsidRDefault="00000000">
    <w:pPr>
      <w:pStyle w:val="Footer"/>
      <w:jc w:val="right"/>
    </w:pPr>
    <w:r>
      <w:fldChar w:fldCharType="begin"/>
    </w:r>
    <w:r>
      <w:instrText>PAGE</w:instrText>
    </w:r>
    <w:r>
      <w:fldChar w:fldCharType="separate"/>
    </w:r>
    <w:r>
      <w:t>16</w:t>
    </w:r>
    <w:r>
      <w:fldChar w:fldCharType="end"/>
    </w:r>
  </w:p>
  <w:p w14:paraId="52853B0E" w14:textId="77777777" w:rsidR="00B52E44" w:rsidRDefault="00B52E44">
    <w:pPr>
      <w:pStyle w:val="Footer"/>
      <w:ind w:left="108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EAB0" w14:textId="77777777" w:rsidR="00F64758" w:rsidRDefault="00F64758">
      <w:r>
        <w:separator/>
      </w:r>
    </w:p>
  </w:footnote>
  <w:footnote w:type="continuationSeparator" w:id="0">
    <w:p w14:paraId="4A8E2FEF" w14:textId="77777777" w:rsidR="00F64758" w:rsidRDefault="00F64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D898" w14:textId="5BB06763" w:rsidR="00B52E44" w:rsidRDefault="00B52E44">
    <w:pPr>
      <w:pStyle w:val="Header"/>
      <w:jc w:val="center"/>
    </w:pPr>
  </w:p>
  <w:p w14:paraId="24B320D8" w14:textId="77777777" w:rsidR="00C53ADA" w:rsidRPr="004A252C" w:rsidRDefault="00C53ADA" w:rsidP="00C53ADA">
    <w:pPr>
      <w:pStyle w:val="FPMredflyer"/>
      <w:rPr>
        <w:color w:val="auto"/>
      </w:rPr>
    </w:pPr>
    <w:r w:rsidRPr="004A252C">
      <w:rPr>
        <w:color w:val="auto"/>
      </w:rPr>
      <w:t xml:space="preserve">SHEERWATER HEALTH CENTRE </w:t>
    </w:r>
  </w:p>
  <w:p w14:paraId="18EE56DD" w14:textId="77777777" w:rsidR="00B52E44" w:rsidRDefault="00B52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1CCE" w14:textId="77777777" w:rsidR="00B52E44" w:rsidRDefault="00000000">
    <w:pPr>
      <w:pStyle w:val="Header"/>
      <w:jc w:val="center"/>
    </w:pPr>
    <w:r>
      <w:rPr>
        <w:noProof/>
      </w:rPr>
      <w:drawing>
        <wp:inline distT="0" distB="0" distL="0" distR="0" wp14:anchorId="56EB88BC" wp14:editId="24E96BBD">
          <wp:extent cx="3042920" cy="595630"/>
          <wp:effectExtent l="0" t="0" r="0" b="0"/>
          <wp:docPr id="3" name="Image1" descr="C:\Users\Hawkeye SMART\Downloads\logo-PLUS (no tag)-01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C:\Users\Hawkeye SMART\Downloads\logo-PLUS (no tag)-01 (1) (3).jpg"/>
                  <pic:cNvPicPr>
                    <a:picLocks noChangeAspect="1" noChangeArrowheads="1"/>
                  </pic:cNvPicPr>
                </pic:nvPicPr>
                <pic:blipFill>
                  <a:blip r:embed="rId1"/>
                  <a:stretch>
                    <a:fillRect/>
                  </a:stretch>
                </pic:blipFill>
                <pic:spPr bwMode="auto">
                  <a:xfrm>
                    <a:off x="0" y="0"/>
                    <a:ext cx="3042920" cy="595630"/>
                  </a:xfrm>
                  <a:prstGeom prst="rect">
                    <a:avLst/>
                  </a:prstGeom>
                </pic:spPr>
              </pic:pic>
            </a:graphicData>
          </a:graphic>
        </wp:inline>
      </w:drawing>
    </w:r>
  </w:p>
  <w:p w14:paraId="33B2FB74" w14:textId="77777777" w:rsidR="00B52E44" w:rsidRDefault="00000000">
    <w:pPr>
      <w:pStyle w:val="Header"/>
      <w:jc w:val="center"/>
    </w:pPr>
    <w:hyperlink r:id="rId2">
      <w:r>
        <w:rPr>
          <w:rStyle w:val="Hyperlink"/>
        </w:rPr>
        <w:t>www.practiceindex.co.uk</w:t>
      </w:r>
    </w:hyperlink>
  </w:p>
  <w:p w14:paraId="74656B34" w14:textId="77777777" w:rsidR="00B52E44" w:rsidRDefault="00B52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437"/>
    <w:multiLevelType w:val="multilevel"/>
    <w:tmpl w:val="DBC488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14E17F0"/>
    <w:multiLevelType w:val="multilevel"/>
    <w:tmpl w:val="F8BAB9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A5F7540"/>
    <w:multiLevelType w:val="multilevel"/>
    <w:tmpl w:val="CC4E82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13E6F5D"/>
    <w:multiLevelType w:val="multilevel"/>
    <w:tmpl w:val="03CE3B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8C41207"/>
    <w:multiLevelType w:val="multilevel"/>
    <w:tmpl w:val="833C26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AAC4E98"/>
    <w:multiLevelType w:val="multilevel"/>
    <w:tmpl w:val="A650F4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D9745E0"/>
    <w:multiLevelType w:val="multilevel"/>
    <w:tmpl w:val="DA987C8E"/>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7" w15:restartNumberingAfterBreak="0">
    <w:nsid w:val="2FBC7C3D"/>
    <w:multiLevelType w:val="multilevel"/>
    <w:tmpl w:val="2646D918"/>
    <w:lvl w:ilvl="0">
      <w:start w:val="1"/>
      <w:numFmt w:val="bullet"/>
      <w:lvlText w:val=""/>
      <w:lvlJc w:val="left"/>
      <w:pPr>
        <w:tabs>
          <w:tab w:val="num" w:pos="0"/>
        </w:tabs>
        <w:ind w:left="839" w:hanging="360"/>
      </w:pPr>
      <w:rPr>
        <w:rFonts w:ascii="Symbol" w:hAnsi="Symbol" w:cs="Symbol"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8" w15:restartNumberingAfterBreak="0">
    <w:nsid w:val="352B7FA4"/>
    <w:multiLevelType w:val="multilevel"/>
    <w:tmpl w:val="30825186"/>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9" w15:restartNumberingAfterBreak="0">
    <w:nsid w:val="3A0105F1"/>
    <w:multiLevelType w:val="multilevel"/>
    <w:tmpl w:val="52367D0E"/>
    <w:lvl w:ilvl="0">
      <w:start w:val="1"/>
      <w:numFmt w:val="bullet"/>
      <w:lvlText w:val=""/>
      <w:lvlJc w:val="left"/>
      <w:pPr>
        <w:tabs>
          <w:tab w:val="num" w:pos="0"/>
        </w:tabs>
        <w:ind w:left="899" w:hanging="360"/>
      </w:pPr>
      <w:rPr>
        <w:rFonts w:ascii="Symbol" w:hAnsi="Symbol" w:cs="Symbol" w:hint="default"/>
      </w:rPr>
    </w:lvl>
    <w:lvl w:ilvl="1">
      <w:start w:val="1"/>
      <w:numFmt w:val="bullet"/>
      <w:lvlText w:val="o"/>
      <w:lvlJc w:val="left"/>
      <w:pPr>
        <w:tabs>
          <w:tab w:val="num" w:pos="0"/>
        </w:tabs>
        <w:ind w:left="1619" w:hanging="360"/>
      </w:pPr>
      <w:rPr>
        <w:rFonts w:ascii="Courier New" w:hAnsi="Courier New" w:cs="Courier New" w:hint="default"/>
      </w:rPr>
    </w:lvl>
    <w:lvl w:ilvl="2">
      <w:start w:val="1"/>
      <w:numFmt w:val="bullet"/>
      <w:lvlText w:val=""/>
      <w:lvlJc w:val="left"/>
      <w:pPr>
        <w:tabs>
          <w:tab w:val="num" w:pos="0"/>
        </w:tabs>
        <w:ind w:left="2339" w:hanging="360"/>
      </w:pPr>
      <w:rPr>
        <w:rFonts w:ascii="Wingdings" w:hAnsi="Wingdings" w:cs="Wingdings" w:hint="default"/>
      </w:rPr>
    </w:lvl>
    <w:lvl w:ilvl="3">
      <w:start w:val="1"/>
      <w:numFmt w:val="bullet"/>
      <w:lvlText w:val=""/>
      <w:lvlJc w:val="left"/>
      <w:pPr>
        <w:tabs>
          <w:tab w:val="num" w:pos="0"/>
        </w:tabs>
        <w:ind w:left="3059" w:hanging="360"/>
      </w:pPr>
      <w:rPr>
        <w:rFonts w:ascii="Symbol" w:hAnsi="Symbol" w:cs="Symbol" w:hint="default"/>
      </w:rPr>
    </w:lvl>
    <w:lvl w:ilvl="4">
      <w:start w:val="1"/>
      <w:numFmt w:val="bullet"/>
      <w:lvlText w:val="o"/>
      <w:lvlJc w:val="left"/>
      <w:pPr>
        <w:tabs>
          <w:tab w:val="num" w:pos="0"/>
        </w:tabs>
        <w:ind w:left="3779" w:hanging="360"/>
      </w:pPr>
      <w:rPr>
        <w:rFonts w:ascii="Courier New" w:hAnsi="Courier New" w:cs="Courier New" w:hint="default"/>
      </w:rPr>
    </w:lvl>
    <w:lvl w:ilvl="5">
      <w:start w:val="1"/>
      <w:numFmt w:val="bullet"/>
      <w:lvlText w:val=""/>
      <w:lvlJc w:val="left"/>
      <w:pPr>
        <w:tabs>
          <w:tab w:val="num" w:pos="0"/>
        </w:tabs>
        <w:ind w:left="4499" w:hanging="360"/>
      </w:pPr>
      <w:rPr>
        <w:rFonts w:ascii="Wingdings" w:hAnsi="Wingdings" w:cs="Wingdings" w:hint="default"/>
      </w:rPr>
    </w:lvl>
    <w:lvl w:ilvl="6">
      <w:start w:val="1"/>
      <w:numFmt w:val="bullet"/>
      <w:lvlText w:val=""/>
      <w:lvlJc w:val="left"/>
      <w:pPr>
        <w:tabs>
          <w:tab w:val="num" w:pos="0"/>
        </w:tabs>
        <w:ind w:left="5219" w:hanging="360"/>
      </w:pPr>
      <w:rPr>
        <w:rFonts w:ascii="Symbol" w:hAnsi="Symbol" w:cs="Symbol" w:hint="default"/>
      </w:rPr>
    </w:lvl>
    <w:lvl w:ilvl="7">
      <w:start w:val="1"/>
      <w:numFmt w:val="bullet"/>
      <w:lvlText w:val="o"/>
      <w:lvlJc w:val="left"/>
      <w:pPr>
        <w:tabs>
          <w:tab w:val="num" w:pos="0"/>
        </w:tabs>
        <w:ind w:left="5939" w:hanging="360"/>
      </w:pPr>
      <w:rPr>
        <w:rFonts w:ascii="Courier New" w:hAnsi="Courier New" w:cs="Courier New" w:hint="default"/>
      </w:rPr>
    </w:lvl>
    <w:lvl w:ilvl="8">
      <w:start w:val="1"/>
      <w:numFmt w:val="bullet"/>
      <w:lvlText w:val=""/>
      <w:lvlJc w:val="left"/>
      <w:pPr>
        <w:tabs>
          <w:tab w:val="num" w:pos="0"/>
        </w:tabs>
        <w:ind w:left="6659" w:hanging="360"/>
      </w:pPr>
      <w:rPr>
        <w:rFonts w:ascii="Wingdings" w:hAnsi="Wingdings" w:cs="Wingdings" w:hint="default"/>
      </w:rPr>
    </w:lvl>
  </w:abstractNum>
  <w:abstractNum w:abstractNumId="10" w15:restartNumberingAfterBreak="0">
    <w:nsid w:val="4D5C1996"/>
    <w:multiLevelType w:val="multilevel"/>
    <w:tmpl w:val="6EE23C7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5C587C"/>
    <w:multiLevelType w:val="multilevel"/>
    <w:tmpl w:val="C194C3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0952CCF"/>
    <w:multiLevelType w:val="multilevel"/>
    <w:tmpl w:val="76B805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88D5529"/>
    <w:multiLevelType w:val="multilevel"/>
    <w:tmpl w:val="790C2E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C0B68BC"/>
    <w:multiLevelType w:val="multilevel"/>
    <w:tmpl w:val="A2F29B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2D42F8A"/>
    <w:multiLevelType w:val="multilevel"/>
    <w:tmpl w:val="F956F7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B381A48"/>
    <w:multiLevelType w:val="multilevel"/>
    <w:tmpl w:val="0966FA6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15:restartNumberingAfterBreak="0">
    <w:nsid w:val="6BC66A49"/>
    <w:multiLevelType w:val="multilevel"/>
    <w:tmpl w:val="6A408EF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8" w15:restartNumberingAfterBreak="0">
    <w:nsid w:val="74006430"/>
    <w:multiLevelType w:val="multilevel"/>
    <w:tmpl w:val="C0DC7058"/>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b/>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num w:numId="1" w16cid:durableId="726883708">
    <w:abstractNumId w:val="18"/>
  </w:num>
  <w:num w:numId="2" w16cid:durableId="1525096012">
    <w:abstractNumId w:val="13"/>
  </w:num>
  <w:num w:numId="3" w16cid:durableId="1606303046">
    <w:abstractNumId w:val="5"/>
  </w:num>
  <w:num w:numId="4" w16cid:durableId="288634936">
    <w:abstractNumId w:val="7"/>
  </w:num>
  <w:num w:numId="5" w16cid:durableId="1267158104">
    <w:abstractNumId w:val="6"/>
  </w:num>
  <w:num w:numId="6" w16cid:durableId="193154274">
    <w:abstractNumId w:val="9"/>
  </w:num>
  <w:num w:numId="7" w16cid:durableId="605649350">
    <w:abstractNumId w:val="3"/>
  </w:num>
  <w:num w:numId="8" w16cid:durableId="1076168608">
    <w:abstractNumId w:val="10"/>
  </w:num>
  <w:num w:numId="9" w16cid:durableId="882718613">
    <w:abstractNumId w:val="14"/>
  </w:num>
  <w:num w:numId="10" w16cid:durableId="1008682149">
    <w:abstractNumId w:val="17"/>
  </w:num>
  <w:num w:numId="11" w16cid:durableId="1492596476">
    <w:abstractNumId w:val="12"/>
  </w:num>
  <w:num w:numId="12" w16cid:durableId="1198079590">
    <w:abstractNumId w:val="1"/>
  </w:num>
  <w:num w:numId="13" w16cid:durableId="931620949">
    <w:abstractNumId w:val="15"/>
  </w:num>
  <w:num w:numId="14" w16cid:durableId="1517386927">
    <w:abstractNumId w:val="4"/>
  </w:num>
  <w:num w:numId="15" w16cid:durableId="85614001">
    <w:abstractNumId w:val="8"/>
  </w:num>
  <w:num w:numId="16" w16cid:durableId="167063824">
    <w:abstractNumId w:val="11"/>
  </w:num>
  <w:num w:numId="17" w16cid:durableId="1628467778">
    <w:abstractNumId w:val="2"/>
  </w:num>
  <w:num w:numId="18" w16cid:durableId="1546872763">
    <w:abstractNumId w:val="16"/>
  </w:num>
  <w:num w:numId="19" w16cid:durableId="25182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44"/>
    <w:rsid w:val="000B6F8A"/>
    <w:rsid w:val="002D14EF"/>
    <w:rsid w:val="002F7035"/>
    <w:rsid w:val="00490824"/>
    <w:rsid w:val="00542C91"/>
    <w:rsid w:val="00802719"/>
    <w:rsid w:val="009045A5"/>
    <w:rsid w:val="00B52E44"/>
    <w:rsid w:val="00C53ADA"/>
    <w:rsid w:val="00F6475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A0DB"/>
  <w15:docId w15:val="{8351AC0D-0258-AF4D-BEBD-391D9AE5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sz w:val="22"/>
      <w:szCs w:val="22"/>
      <w:lang w:val="en-GB"/>
    </w:rPr>
  </w:style>
  <w:style w:type="paragraph" w:styleId="Heading1">
    <w:name w:val="heading 1"/>
    <w:basedOn w:val="Normal"/>
    <w:next w:val="Normal"/>
    <w:uiPriority w:val="9"/>
    <w:qFormat/>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uiPriority w:val="9"/>
    <w:unhideWhenUsed/>
    <w:qFormat/>
    <w:pPr>
      <w:keepNext/>
      <w:keepLines/>
      <w:numPr>
        <w:ilvl w:val="1"/>
        <w:numId w:val="1"/>
      </w:numPr>
      <w:spacing w:before="360" w:line="259" w:lineRule="auto"/>
      <w:outlineLvl w:val="1"/>
    </w:pPr>
    <w:rPr>
      <w:rFonts w:ascii="Calibri Light" w:eastAsia="Malgun Gothic" w:hAnsi="Calibri Light"/>
      <w:b/>
      <w:bCs/>
      <w:smallCaps/>
      <w:color w:val="000000"/>
      <w:sz w:val="28"/>
      <w:szCs w:val="28"/>
      <w:lang w:val="en-US"/>
    </w:rPr>
  </w:style>
  <w:style w:type="paragraph" w:styleId="Heading3">
    <w:name w:val="heading 3"/>
    <w:basedOn w:val="Normal"/>
    <w:next w:val="Normal"/>
    <w:uiPriority w:val="9"/>
    <w:semiHidden/>
    <w:unhideWhenUsed/>
    <w:qFormat/>
    <w:pPr>
      <w:keepNext/>
      <w:keepLines/>
      <w:numPr>
        <w:ilvl w:val="2"/>
        <w:numId w:val="1"/>
      </w:numPr>
      <w:spacing w:before="200" w:line="259" w:lineRule="auto"/>
      <w:outlineLvl w:val="2"/>
    </w:pPr>
    <w:rPr>
      <w:rFonts w:ascii="Calibri Light" w:eastAsia="Malgun Gothic" w:hAnsi="Calibri Light"/>
      <w:b/>
      <w:bCs/>
      <w:color w:val="000000"/>
      <w:lang w:val="en-US"/>
    </w:rPr>
  </w:style>
  <w:style w:type="paragraph" w:styleId="Heading4">
    <w:name w:val="heading 4"/>
    <w:basedOn w:val="Normal"/>
    <w:next w:val="Normal"/>
    <w:uiPriority w:val="9"/>
    <w:semiHidden/>
    <w:unhideWhenUsed/>
    <w:qFormat/>
    <w:pPr>
      <w:keepNext/>
      <w:keepLines/>
      <w:numPr>
        <w:ilvl w:val="3"/>
        <w:numId w:val="1"/>
      </w:numPr>
      <w:spacing w:before="200" w:line="259" w:lineRule="auto"/>
      <w:outlineLvl w:val="3"/>
    </w:pPr>
    <w:rPr>
      <w:rFonts w:ascii="Calibri Light" w:eastAsia="Malgun Gothic" w:hAnsi="Calibri Light"/>
      <w:b/>
      <w:bCs/>
      <w:i/>
      <w:iCs/>
      <w:color w:val="000000"/>
      <w:lang w:val="en-US"/>
    </w:rPr>
  </w:style>
  <w:style w:type="paragraph" w:styleId="Heading5">
    <w:name w:val="heading 5"/>
    <w:basedOn w:val="Normal"/>
    <w:next w:val="Normal"/>
    <w:uiPriority w:val="9"/>
    <w:semiHidden/>
    <w:unhideWhenUsed/>
    <w:qFormat/>
    <w:pPr>
      <w:keepNext/>
      <w:keepLines/>
      <w:numPr>
        <w:ilvl w:val="4"/>
        <w:numId w:val="1"/>
      </w:numPr>
      <w:spacing w:before="200" w:line="259" w:lineRule="auto"/>
      <w:outlineLvl w:val="4"/>
    </w:pPr>
    <w:rPr>
      <w:rFonts w:ascii="Calibri Light" w:eastAsia="Malgun Gothic" w:hAnsi="Calibri Light"/>
      <w:color w:val="323E4F"/>
      <w:lang w:val="en-US"/>
    </w:rPr>
  </w:style>
  <w:style w:type="paragraph" w:styleId="Heading6">
    <w:name w:val="heading 6"/>
    <w:basedOn w:val="Normal"/>
    <w:next w:val="Normal"/>
    <w:uiPriority w:val="9"/>
    <w:semiHidden/>
    <w:unhideWhenUsed/>
    <w:qFormat/>
    <w:pPr>
      <w:keepNext/>
      <w:keepLines/>
      <w:numPr>
        <w:ilvl w:val="5"/>
        <w:numId w:val="1"/>
      </w:numPr>
      <w:spacing w:before="200" w:line="259" w:lineRule="auto"/>
      <w:outlineLvl w:val="5"/>
    </w:pPr>
    <w:rPr>
      <w:rFonts w:ascii="Calibri Light" w:eastAsia="Malgun Gothic" w:hAnsi="Calibri Light"/>
      <w:i/>
      <w:iCs/>
      <w:color w:val="323E4F"/>
      <w:lang w:val="en-US"/>
    </w:rPr>
  </w:style>
  <w:style w:type="paragraph" w:styleId="Heading7">
    <w:name w:val="heading 7"/>
    <w:basedOn w:val="Normal"/>
    <w:next w:val="Normal"/>
    <w:qFormat/>
    <w:pPr>
      <w:keepNext/>
      <w:keepLines/>
      <w:numPr>
        <w:ilvl w:val="6"/>
        <w:numId w:val="1"/>
      </w:numPr>
      <w:spacing w:before="200" w:line="259" w:lineRule="auto"/>
      <w:outlineLvl w:val="6"/>
    </w:pPr>
    <w:rPr>
      <w:rFonts w:ascii="Calibri Light" w:eastAsia="Malgun Gothic" w:hAnsi="Calibri Light"/>
      <w:i/>
      <w:iCs/>
      <w:color w:val="404040"/>
      <w:lang w:val="en-US"/>
    </w:rPr>
  </w:style>
  <w:style w:type="paragraph" w:styleId="Heading8">
    <w:name w:val="heading 8"/>
    <w:basedOn w:val="Normal"/>
    <w:next w:val="Normal"/>
    <w:qFormat/>
    <w:pPr>
      <w:keepNext/>
      <w:keepLines/>
      <w:numPr>
        <w:ilvl w:val="7"/>
        <w:numId w:val="1"/>
      </w:numPr>
      <w:spacing w:before="200" w:line="259" w:lineRule="auto"/>
      <w:outlineLvl w:val="7"/>
    </w:pPr>
    <w:rPr>
      <w:rFonts w:ascii="Calibri Light" w:eastAsia="Malgun Gothic" w:hAnsi="Calibri Light"/>
      <w:color w:val="404040"/>
      <w:sz w:val="20"/>
      <w:szCs w:val="20"/>
      <w:lang w:val="en-US"/>
    </w:rPr>
  </w:style>
  <w:style w:type="paragraph" w:styleId="Heading9">
    <w:name w:val="heading 9"/>
    <w:basedOn w:val="Normal"/>
    <w:next w:val="Normal"/>
    <w:qFormat/>
    <w:pPr>
      <w:keepNext/>
      <w:keepLines/>
      <w:numPr>
        <w:ilvl w:val="8"/>
        <w:numId w:val="1"/>
      </w:numPr>
      <w:spacing w:before="200" w:line="259" w:lineRule="auto"/>
      <w:outlineLvl w:val="8"/>
    </w:pPr>
    <w:rPr>
      <w:rFonts w:ascii="Calibri Light" w:eastAsia="Malgun Gothic" w:hAnsi="Calibri Light"/>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ascii="Calibri Light" w:eastAsia="Malgun Gothic" w:hAnsi="Calibri Light" w:cs="Times New Roman"/>
      <w:b/>
      <w:bCs/>
      <w:smallCaps/>
      <w:color w:val="000000"/>
      <w:sz w:val="28"/>
      <w:szCs w:val="28"/>
    </w:rPr>
  </w:style>
  <w:style w:type="character" w:customStyle="1" w:styleId="Heading3Char">
    <w:name w:val="Heading 3 Char"/>
    <w:basedOn w:val="DefaultParagraphFont"/>
    <w:qFormat/>
    <w:rPr>
      <w:rFonts w:ascii="Calibri Light" w:eastAsia="Malgun Gothic" w:hAnsi="Calibri Light" w:cs="Times New Roman"/>
      <w:b/>
      <w:bCs/>
      <w:color w:val="000000"/>
      <w:sz w:val="22"/>
      <w:szCs w:val="22"/>
    </w:rPr>
  </w:style>
  <w:style w:type="character" w:customStyle="1" w:styleId="Heading4Char">
    <w:name w:val="Heading 4 Char"/>
    <w:basedOn w:val="DefaultParagraphFont"/>
    <w:qFormat/>
    <w:rPr>
      <w:rFonts w:ascii="Calibri Light" w:eastAsia="Malgun Gothic" w:hAnsi="Calibri Light" w:cs="Times New Roman"/>
      <w:b/>
      <w:bCs/>
      <w:i/>
      <w:iCs/>
      <w:color w:val="000000"/>
      <w:sz w:val="22"/>
      <w:szCs w:val="22"/>
    </w:rPr>
  </w:style>
  <w:style w:type="character" w:customStyle="1" w:styleId="Heading5Char">
    <w:name w:val="Heading 5 Char"/>
    <w:basedOn w:val="DefaultParagraphFont"/>
    <w:qFormat/>
    <w:rPr>
      <w:rFonts w:ascii="Calibri Light" w:eastAsia="Malgun Gothic" w:hAnsi="Calibri Light" w:cs="Times New Roman"/>
      <w:color w:val="323E4F"/>
      <w:sz w:val="22"/>
      <w:szCs w:val="22"/>
    </w:rPr>
  </w:style>
  <w:style w:type="character" w:customStyle="1" w:styleId="Heading6Char">
    <w:name w:val="Heading 6 Char"/>
    <w:basedOn w:val="DefaultParagraphFont"/>
    <w:qFormat/>
    <w:rPr>
      <w:rFonts w:ascii="Calibri Light" w:eastAsia="Malgun Gothic" w:hAnsi="Calibri Light" w:cs="Times New Roman"/>
      <w:i/>
      <w:iCs/>
      <w:color w:val="323E4F"/>
      <w:sz w:val="22"/>
      <w:szCs w:val="22"/>
    </w:rPr>
  </w:style>
  <w:style w:type="character" w:customStyle="1" w:styleId="Heading7Char">
    <w:name w:val="Heading 7 Char"/>
    <w:basedOn w:val="DefaultParagraphFont"/>
    <w:qFormat/>
    <w:rPr>
      <w:rFonts w:ascii="Calibri Light" w:eastAsia="Malgun Gothic" w:hAnsi="Calibri Light" w:cs="Times New Roman"/>
      <w:i/>
      <w:iCs/>
      <w:color w:val="404040"/>
      <w:sz w:val="22"/>
      <w:szCs w:val="22"/>
    </w:rPr>
  </w:style>
  <w:style w:type="character" w:customStyle="1" w:styleId="Heading8Char">
    <w:name w:val="Heading 8 Char"/>
    <w:basedOn w:val="DefaultParagraphFont"/>
    <w:qFormat/>
    <w:rPr>
      <w:rFonts w:ascii="Calibri Light" w:eastAsia="Malgun Gothic" w:hAnsi="Calibri Light" w:cs="Times New Roman"/>
      <w:color w:val="404040"/>
    </w:rPr>
  </w:style>
  <w:style w:type="character" w:customStyle="1" w:styleId="Heading9Char">
    <w:name w:val="Heading 9 Char"/>
    <w:basedOn w:val="DefaultParagraphFont"/>
    <w:qFormat/>
    <w:rPr>
      <w:rFonts w:ascii="Calibri Light" w:eastAsia="Malgun Gothic" w:hAnsi="Calibri Light" w:cs="Times New Roman"/>
      <w:i/>
      <w:iCs/>
      <w:color w:val="404040"/>
    </w:rPr>
  </w:style>
  <w:style w:type="character" w:customStyle="1" w:styleId="AStyleStyle2-handbookFirstline0cmChar">
    <w:name w:val="A Style Style2 - handbook + First line:  0 cm Char"/>
    <w:basedOn w:val="DefaultParagraphFont"/>
    <w:qFormat/>
    <w:rPr>
      <w:rFonts w:ascii="Arial" w:eastAsia="Malgun Gothic" w:hAnsi="Arial" w:cs="Times New Roman"/>
      <w:sz w:val="22"/>
    </w:rPr>
  </w:style>
  <w:style w:type="character" w:customStyle="1" w:styleId="Heading1Char">
    <w:name w:val="Heading 1 Char"/>
    <w:basedOn w:val="DefaultParagraphFont"/>
    <w:qFormat/>
    <w:rPr>
      <w:rFonts w:ascii="Arial" w:hAnsi="Arial" w:cs="Arial"/>
      <w:b/>
      <w:bCs/>
      <w:kern w:val="2"/>
      <w:sz w:val="32"/>
      <w:szCs w:val="32"/>
      <w:lang w:val="en-GB" w:eastAsia="en-GB"/>
    </w:rPr>
  </w:style>
  <w:style w:type="character" w:styleId="Hyperlink">
    <w:name w:val="Hyperlink"/>
    <w:basedOn w:val="DefaultParagraphFont"/>
    <w:uiPriority w:val="99"/>
    <w:rPr>
      <w:color w:val="0563C1"/>
      <w:u w:val="single"/>
    </w:rPr>
  </w:style>
  <w:style w:type="character" w:customStyle="1" w:styleId="HeaderChar">
    <w:name w:val="Header Char"/>
    <w:basedOn w:val="DefaultParagraphFont"/>
    <w:qFormat/>
    <w:rPr>
      <w:rFonts w:ascii="Calibri" w:eastAsia="Calibri" w:hAnsi="Calibri" w:cs="Times New Roman"/>
      <w:sz w:val="22"/>
      <w:szCs w:val="22"/>
      <w:lang w:val="en-GB"/>
    </w:rPr>
  </w:style>
  <w:style w:type="character" w:customStyle="1" w:styleId="FooterChar">
    <w:name w:val="Footer Char"/>
    <w:basedOn w:val="DefaultParagraphFont"/>
    <w:qFormat/>
    <w:rPr>
      <w:rFonts w:ascii="Calibri" w:eastAsia="Calibri" w:hAnsi="Calibri" w:cs="Times New Roman"/>
      <w:sz w:val="22"/>
      <w:szCs w:val="22"/>
      <w:lang w:val="en-GB"/>
    </w:rPr>
  </w:style>
  <w:style w:type="character" w:customStyle="1" w:styleId="BalloonTextChar">
    <w:name w:val="Balloon Text Char"/>
    <w:basedOn w:val="DefaultParagraphFont"/>
    <w:qFormat/>
    <w:rPr>
      <w:rFonts w:ascii="Segoe UI" w:eastAsia="Calibri" w:hAnsi="Segoe UI" w:cs="Segoe UI"/>
      <w:sz w:val="18"/>
      <w:szCs w:val="18"/>
      <w:lang w:val="en-GB"/>
    </w:rPr>
  </w:style>
  <w:style w:type="character" w:styleId="FollowedHyperlink">
    <w:name w:val="FollowedHyperlink"/>
    <w:basedOn w:val="DefaultParagraphFont"/>
    <w:rPr>
      <w:color w:val="954F72"/>
      <w:u w:val="single"/>
    </w:rPr>
  </w:style>
  <w:style w:type="character" w:customStyle="1" w:styleId="FootnoteTextChar">
    <w:name w:val="Footnote Text Char"/>
    <w:basedOn w:val="DefaultParagraphFont"/>
    <w:qFormat/>
    <w:rPr>
      <w:rFonts w:ascii="Calibri" w:eastAsia="Calibri" w:hAnsi="Calibri" w:cs="Times New Roman"/>
      <w:sz w:val="24"/>
      <w:szCs w:val="24"/>
      <w:lang w:val="en-GB"/>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qFormat/>
    <w:rPr>
      <w:color w:val="605E5C"/>
      <w:shd w:val="clear" w:color="auto" w:fill="E1DFDD"/>
    </w:rPr>
  </w:style>
  <w:style w:type="character" w:customStyle="1" w:styleId="UnresolvedMention2">
    <w:name w:val="Unresolved Mention2"/>
    <w:basedOn w:val="DefaultParagraphFont"/>
    <w:qFormat/>
    <w:rPr>
      <w:color w:val="605E5C"/>
      <w:shd w:val="clear" w:color="auto" w:fill="E1DFDD"/>
    </w:rPr>
  </w:style>
  <w:style w:type="character" w:styleId="Strong">
    <w:name w:val="Strong"/>
    <w:basedOn w:val="DefaultParagraphFont"/>
    <w:qFormat/>
    <w:rPr>
      <w:b/>
      <w:bCs/>
    </w:rPr>
  </w:style>
  <w:style w:type="character" w:customStyle="1" w:styleId="UnresolvedMention3">
    <w:name w:val="Unresolved Mention3"/>
    <w:basedOn w:val="DefaultParagraphFont"/>
    <w:qFormat/>
    <w:rPr>
      <w:color w:val="605E5C"/>
      <w:shd w:val="clear" w:color="auto" w:fill="E1DFDD"/>
    </w:rPr>
  </w:style>
  <w:style w:type="character" w:customStyle="1" w:styleId="UnresolvedMention4">
    <w:name w:val="Unresolved Mention4"/>
    <w:basedOn w:val="DefaultParagraphFont"/>
    <w:qFormat/>
    <w:rPr>
      <w:color w:val="605E5C"/>
      <w:shd w:val="clear" w:color="auto" w:fill="E1DFDD"/>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Calibri" w:eastAsia="Calibri" w:hAnsi="Calibri" w:cs="Times New Roman"/>
      <w:lang w:val="en-GB"/>
    </w:rPr>
  </w:style>
  <w:style w:type="character" w:customStyle="1" w:styleId="CommentSubjectChar">
    <w:name w:val="Comment Subject Char"/>
    <w:basedOn w:val="CommentTextChar"/>
    <w:qFormat/>
    <w:rPr>
      <w:rFonts w:ascii="Calibri" w:eastAsia="Calibri" w:hAnsi="Calibri" w:cs="Times New Roman"/>
      <w:b/>
      <w:bCs/>
      <w:lang w:val="en-GB"/>
    </w:rPr>
  </w:style>
  <w:style w:type="character" w:styleId="UnresolvedMention">
    <w:name w:val="Unresolved Mention"/>
    <w:basedOn w:val="DefaultParagraphFont"/>
    <w:qFormat/>
    <w:rPr>
      <w:color w:val="605E5C"/>
      <w:shd w:val="clear" w:color="auto" w:fill="E1DFDD"/>
    </w:rPr>
  </w:style>
  <w:style w:type="character" w:customStyle="1" w:styleId="IndexLink">
    <w:name w:val="Index Link"/>
    <w:qFormat/>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Bullets">
    <w:name w:val="Bullets"/>
    <w:qFormat/>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customStyle="1" w:styleId="Index">
    <w:name w:val="Index"/>
    <w:basedOn w:val="Normal"/>
    <w:qFormat/>
    <w:pPr>
      <w:suppressLineNumbers/>
    </w:pPr>
    <w:rPr>
      <w:rFonts w:ascii="Times New Roman" w:hAnsi="Times New Roman" w:cs="Arial Unicode MS"/>
    </w:rPr>
  </w:style>
  <w:style w:type="paragraph" w:customStyle="1" w:styleId="Style1">
    <w:name w:val="Style1"/>
    <w:basedOn w:val="Heading1"/>
    <w:qFormat/>
    <w:pPr>
      <w:numPr>
        <w:numId w:val="0"/>
      </w:numPr>
      <w:spacing w:after="240" w:line="360" w:lineRule="auto"/>
      <w:jc w:val="both"/>
      <w:outlineLvl w:val="9"/>
    </w:pPr>
    <w:rPr>
      <w:rFonts w:cs="Times New Roman"/>
      <w:bCs w:val="0"/>
      <w:kern w:val="0"/>
      <w:sz w:val="24"/>
    </w:rPr>
  </w:style>
  <w:style w:type="paragraph" w:customStyle="1" w:styleId="Style3">
    <w:name w:val="Style3"/>
    <w:basedOn w:val="Normal"/>
    <w:qFormat/>
    <w:pPr>
      <w:spacing w:after="240"/>
      <w:ind w:left="900" w:hanging="900"/>
    </w:pPr>
    <w:rPr>
      <w:rFonts w:ascii="Arial" w:hAnsi="Arial"/>
      <w:szCs w:val="20"/>
    </w:rPr>
  </w:style>
  <w:style w:type="paragraph" w:styleId="ListParagraph">
    <w:name w:val="List Paragraph"/>
    <w:basedOn w:val="Normal"/>
    <w:qFormat/>
    <w:pPr>
      <w:ind w:left="720"/>
      <w:contextualSpacing/>
    </w:pPr>
  </w:style>
  <w:style w:type="paragraph" w:customStyle="1" w:styleId="AStyleStyle2-handbookFirstline0cm">
    <w:name w:val="A Style Style2 - handbook + First line:  0 cm"/>
    <w:basedOn w:val="Normal"/>
    <w:qFormat/>
    <w:pPr>
      <w:spacing w:after="240" w:line="259" w:lineRule="auto"/>
      <w:ind w:left="900"/>
    </w:pPr>
    <w:rPr>
      <w:rFonts w:ascii="Arial" w:eastAsia="Malgun Gothic" w:hAnsi="Arial"/>
      <w:szCs w:val="20"/>
      <w:lang w:val="en-US"/>
    </w:rPr>
  </w:style>
  <w:style w:type="paragraph" w:styleId="TOC1">
    <w:name w:val="toc 1"/>
    <w:basedOn w:val="Normal"/>
    <w:next w:val="Normal"/>
    <w:autoRedefine/>
    <w:uiPriority w:val="39"/>
    <w:rsid w:val="001D0CFE"/>
    <w:pPr>
      <w:tabs>
        <w:tab w:val="left" w:pos="440"/>
        <w:tab w:val="right" w:pos="8296"/>
      </w:tabs>
      <w:spacing w:before="360"/>
    </w:pPr>
    <w:rPr>
      <w:rFonts w:ascii="Calibri Light" w:hAnsi="Calibri Light" w:cs="Calibri Light"/>
      <w:b/>
      <w:bCs/>
      <w:caps/>
      <w:sz w:val="24"/>
      <w:szCs w:val="24"/>
    </w:rPr>
  </w:style>
  <w:style w:type="paragraph" w:styleId="TOC2">
    <w:name w:val="toc 2"/>
    <w:basedOn w:val="Normal"/>
    <w:next w:val="Normal"/>
    <w:autoRedefine/>
    <w:uiPriority w:val="39"/>
    <w:pPr>
      <w:tabs>
        <w:tab w:val="left" w:pos="660"/>
        <w:tab w:val="right" w:pos="8296"/>
      </w:tabs>
      <w:spacing w:before="80"/>
    </w:pPr>
    <w:rPr>
      <w:rFonts w:cs="Calibri"/>
      <w:b/>
      <w:bCs/>
      <w:sz w:val="20"/>
      <w:szCs w:val="20"/>
    </w:rPr>
  </w:style>
  <w:style w:type="paragraph" w:styleId="TOC3">
    <w:name w:val="toc 3"/>
    <w:basedOn w:val="Normal"/>
    <w:next w:val="Normal"/>
    <w:autoRedefine/>
    <w:pPr>
      <w:ind w:left="220"/>
    </w:pPr>
    <w:rPr>
      <w:rFonts w:cs="Calibri"/>
      <w:sz w:val="20"/>
      <w:szCs w:val="20"/>
    </w:rPr>
  </w:style>
  <w:style w:type="paragraph" w:styleId="TOC4">
    <w:name w:val="toc 4"/>
    <w:basedOn w:val="Normal"/>
    <w:next w:val="Normal"/>
    <w:autoRedefine/>
    <w:pPr>
      <w:ind w:left="440"/>
    </w:pPr>
    <w:rPr>
      <w:rFonts w:cs="Calibri"/>
      <w:sz w:val="20"/>
      <w:szCs w:val="20"/>
    </w:rPr>
  </w:style>
  <w:style w:type="paragraph" w:styleId="TOC5">
    <w:name w:val="toc 5"/>
    <w:basedOn w:val="Normal"/>
    <w:next w:val="Normal"/>
    <w:autoRedefine/>
    <w:pPr>
      <w:ind w:left="660"/>
    </w:pPr>
    <w:rPr>
      <w:rFonts w:cs="Calibri"/>
      <w:sz w:val="20"/>
      <w:szCs w:val="20"/>
    </w:rPr>
  </w:style>
  <w:style w:type="paragraph" w:styleId="TOC6">
    <w:name w:val="toc 6"/>
    <w:basedOn w:val="Normal"/>
    <w:next w:val="Normal"/>
    <w:autoRedefine/>
    <w:pPr>
      <w:ind w:left="880"/>
    </w:pPr>
    <w:rPr>
      <w:rFonts w:cs="Calibri"/>
      <w:sz w:val="20"/>
      <w:szCs w:val="20"/>
    </w:rPr>
  </w:style>
  <w:style w:type="paragraph" w:styleId="TOC7">
    <w:name w:val="toc 7"/>
    <w:basedOn w:val="Normal"/>
    <w:next w:val="Normal"/>
    <w:autoRedefine/>
    <w:pPr>
      <w:ind w:left="1100"/>
    </w:pPr>
    <w:rPr>
      <w:rFonts w:cs="Calibri"/>
      <w:sz w:val="20"/>
      <w:szCs w:val="20"/>
    </w:rPr>
  </w:style>
  <w:style w:type="paragraph" w:styleId="TOC8">
    <w:name w:val="toc 8"/>
    <w:basedOn w:val="Normal"/>
    <w:next w:val="Normal"/>
    <w:autoRedefine/>
    <w:pPr>
      <w:ind w:left="1320"/>
    </w:pPr>
    <w:rPr>
      <w:rFonts w:cs="Calibri"/>
      <w:sz w:val="20"/>
      <w:szCs w:val="20"/>
    </w:rPr>
  </w:style>
  <w:style w:type="paragraph" w:styleId="TOC9">
    <w:name w:val="toc 9"/>
    <w:basedOn w:val="Normal"/>
    <w:next w:val="Normal"/>
    <w:autoRedefine/>
    <w:pPr>
      <w:ind w:left="1540"/>
    </w:pPr>
    <w:rPr>
      <w:rFonts w:cs="Calibri"/>
      <w:sz w:val="20"/>
      <w:szCs w:val="20"/>
    </w:rPr>
  </w:style>
  <w:style w:type="paragraph" w:customStyle="1" w:styleId="HeaderandFooter">
    <w:name w:val="Header and Footer"/>
    <w:basedOn w:val="Normal"/>
    <w:qFormat/>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qFormat/>
    <w:rPr>
      <w:rFonts w:ascii="Segoe UI" w:hAnsi="Segoe UI" w:cs="Segoe UI"/>
      <w:sz w:val="18"/>
      <w:szCs w:val="18"/>
    </w:rPr>
  </w:style>
  <w:style w:type="paragraph" w:styleId="FootnoteText">
    <w:name w:val="footnote text"/>
    <w:basedOn w:val="Normal"/>
    <w:rPr>
      <w:sz w:val="24"/>
      <w:szCs w:val="24"/>
    </w:rPr>
  </w:style>
  <w:style w:type="paragraph" w:customStyle="1" w:styleId="Default">
    <w:name w:val="Default"/>
    <w:qFormat/>
    <w:rPr>
      <w:rFonts w:ascii="Arial" w:eastAsia="Calibri" w:hAnsi="Arial" w:cs="Arial"/>
      <w:color w:val="000000"/>
      <w:sz w:val="24"/>
      <w:szCs w:val="24"/>
      <w:lang w:val="en-GB" w:eastAsia="en-GB"/>
    </w:rPr>
  </w:style>
  <w:style w:type="paragraph" w:styleId="NormalWeb">
    <w:name w:val="Normal (Web)"/>
    <w:basedOn w:val="Normal"/>
    <w:qFormat/>
    <w:pPr>
      <w:spacing w:before="280" w:after="280"/>
    </w:pPr>
    <w:rPr>
      <w:rFonts w:ascii="Times New Roman" w:eastAsia="Times New Roman" w:hAnsi="Times New Roman"/>
      <w:sz w:val="24"/>
      <w:szCs w:val="24"/>
      <w:lang w:eastAsia="en-GB"/>
    </w:rPr>
  </w:style>
  <w:style w:type="paragraph" w:styleId="Revision">
    <w:name w:val="Revision"/>
    <w:qFormat/>
    <w:rPr>
      <w:rFonts w:ascii="Calibri" w:eastAsia="Calibri" w:hAnsi="Calibri"/>
      <w:sz w:val="22"/>
      <w:szCs w:val="22"/>
      <w:lang w:val="en-GB"/>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customStyle="1" w:styleId="TableContents">
    <w:name w:val="Table Contents"/>
    <w:basedOn w:val="Normal"/>
    <w:qFormat/>
    <w:pPr>
      <w:widowControl w:val="0"/>
      <w:suppressLineNumbers/>
    </w:pPr>
  </w:style>
  <w:style w:type="paragraph" w:customStyle="1" w:styleId="FPMredflyer">
    <w:name w:val="FPM red flyer"/>
    <w:basedOn w:val="Normal"/>
    <w:rsid w:val="00C53ADA"/>
    <w:pPr>
      <w:suppressAutoHyphens w:val="0"/>
      <w:jc w:val="center"/>
    </w:pPr>
    <w:rPr>
      <w:rFonts w:ascii="Tahoma" w:eastAsia="Times New Roman" w:hAnsi="Tahoma" w:cs="Tahoma"/>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rcn.org.uk/Get-Help/RCN-advice/duty-of-care" TargetMode="External"/><Relationship Id="rId21" Type="http://schemas.openxmlformats.org/officeDocument/2006/relationships/hyperlink" Target="https://www.resus.org.uk/library/abcde-approach" TargetMode="External"/><Relationship Id="rId42" Type="http://schemas.openxmlformats.org/officeDocument/2006/relationships/hyperlink" Target="https://www.resus.org.uk/about-us/news-and-events/resuscitation-council-uk-introduces-version-3-respect-form" TargetMode="External"/><Relationship Id="rId47" Type="http://schemas.openxmlformats.org/officeDocument/2006/relationships/hyperlink" Target="https://www.resus.org.uk/quality-standards/primary-care-equipment-and-drug-lists/" TargetMode="External"/><Relationship Id="rId63" Type="http://schemas.openxmlformats.org/officeDocument/2006/relationships/hyperlink" Target="https://www.resus.org.uk/covid-19-resources" TargetMode="External"/><Relationship Id="rId68" Type="http://schemas.openxmlformats.org/officeDocument/2006/relationships/hyperlink" Target="http://www.sparepensinschools.uk/" TargetMode="External"/><Relationship Id="rId2" Type="http://schemas.openxmlformats.org/officeDocument/2006/relationships/styles" Target="styles.xml"/><Relationship Id="rId16" Type="http://schemas.openxmlformats.org/officeDocument/2006/relationships/hyperlink" Target="https://practiceindex.co.uk/gp/forum/threads/anaphylaxis.13912/" TargetMode="External"/><Relationship Id="rId29" Type="http://schemas.openxmlformats.org/officeDocument/2006/relationships/hyperlink" Target="https://practiceindex.co.uk/gp/forum/resources/infection-prevention-control-policy-ipc.700/" TargetMode="External"/><Relationship Id="rId11" Type="http://schemas.openxmlformats.org/officeDocument/2006/relationships/hyperlink" Target="https://practiceindex.co.uk/gp/forum/resources/1519" TargetMode="External"/><Relationship Id="rId24" Type="http://schemas.openxmlformats.org/officeDocument/2006/relationships/hyperlink" Target="https://www.england.nhs.uk/publication/patient-safety-alert-safe-adoption-of-news2/" TargetMode="External"/><Relationship Id="rId32" Type="http://schemas.openxmlformats.org/officeDocument/2006/relationships/hyperlink" Target="https://practiceindex.co.uk/gp/forum/resources/mental-capacity-act-policy.1105/" TargetMode="External"/><Relationship Id="rId37" Type="http://schemas.openxmlformats.org/officeDocument/2006/relationships/hyperlink" Target="https://www.google.com/url?sa=t&amp;rct=j&amp;q=&amp;esrc=s&amp;source=web&amp;cd=&amp;ved=2ahUKEwjC6py5_a_7AhWEZsAKHdjKCtAQFnoECBEQAw&amp;url=https%3A%2F%2Fwww.ekhuft.nhs.uk%2FEasySiteWeb%2FGatewayLink.aspx%3FalId%3D501014&amp;usg=AOvVaw33YromG4R3lpq2cyWfPeEp" TargetMode="External"/><Relationship Id="rId40" Type="http://schemas.openxmlformats.org/officeDocument/2006/relationships/hyperlink" Target="https://www.resus.org.uk/respect/respect-resources" TargetMode="External"/><Relationship Id="rId45" Type="http://schemas.openxmlformats.org/officeDocument/2006/relationships/hyperlink" Target="https://www.cqc.org.uk/sites/default/files/20201204%20DNACPR%20Interim%20Report%20-%20FINAL.pdf" TargetMode="External"/><Relationship Id="rId53" Type="http://schemas.openxmlformats.org/officeDocument/2006/relationships/hyperlink" Target="https://www.cqc.org.uk/guidance-providers/gps/gp-mythbuster-1-resuscitation-gp-surgeries" TargetMode="External"/><Relationship Id="rId58" Type="http://schemas.openxmlformats.org/officeDocument/2006/relationships/hyperlink" Target="https://www.resus.org.uk/library/publications/publication-cpr-aeds-and-law" TargetMode="External"/><Relationship Id="rId66" Type="http://schemas.openxmlformats.org/officeDocument/2006/relationships/hyperlink" Target="https://elearning.rcgp.org.uk/mod/page/view.php?id=11672?utm_source=resuscounciluk_medium=tw_date=211220"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resus.org.uk/library/2021-resuscitation-guidelines/adult-basic-life-support-guidelines" TargetMode="External"/><Relationship Id="rId19" Type="http://schemas.openxmlformats.org/officeDocument/2006/relationships/hyperlink" Target="https://www.legislation.gov.uk/ukpga/2010/15/contents" TargetMode="External"/><Relationship Id="rId14" Type="http://schemas.openxmlformats.org/officeDocument/2006/relationships/hyperlink" Target="https://practiceindex.co.uk/gp/forum/threads/basic-life-support-adults.13910/" TargetMode="External"/><Relationship Id="rId22" Type="http://schemas.openxmlformats.org/officeDocument/2006/relationships/hyperlink" Target="https://www.england.nhs.uk/ourwork/clinical-policy/sepsis/nationalearlywarningscore/" TargetMode="External"/><Relationship Id="rId27" Type="http://schemas.openxmlformats.org/officeDocument/2006/relationships/hyperlink" Target="https://www.gmc-uk.org/ethical-guidance/ethical-guidance-for-doctors/good-medical-practice/domain-2----safety-and-quality" TargetMode="External"/><Relationship Id="rId30" Type="http://schemas.openxmlformats.org/officeDocument/2006/relationships/hyperlink" Target="https://practiceindex.co.uk/gp/forum/resources/cleaning-standards-and-schedule-policy.1388/" TargetMode="External"/><Relationship Id="rId35" Type="http://schemas.openxmlformats.org/officeDocument/2006/relationships/hyperlink" Target="https://practiceindex.co.uk/gp/forum/resources/dnacpr-policy-scotland.1819/" TargetMode="External"/><Relationship Id="rId43" Type="http://schemas.openxmlformats.org/officeDocument/2006/relationships/hyperlink" Target="https://www.resus.org.uk/library/publications/publication-decisions-relating-cardiopulmonary" TargetMode="External"/><Relationship Id="rId48" Type="http://schemas.openxmlformats.org/officeDocument/2006/relationships/hyperlink" Target="https://practiceindex.co.uk/gp/forum/resources/risk-assessment-toolkit.1464/" TargetMode="External"/><Relationship Id="rId56" Type="http://schemas.openxmlformats.org/officeDocument/2006/relationships/hyperlink" Target="https://patient.info/doctor/doctors-bag-contents" TargetMode="External"/><Relationship Id="rId64" Type="http://schemas.openxmlformats.org/officeDocument/2006/relationships/hyperlink" Target="https://www.england.nhs.uk/publication/talking-do-not-attempt-cardiopulmonary-resuscitation-dnacpr/" TargetMode="External"/><Relationship Id="rId69" Type="http://schemas.openxmlformats.org/officeDocument/2006/relationships/header" Target="header1.xml"/><Relationship Id="rId8" Type="http://schemas.openxmlformats.org/officeDocument/2006/relationships/hyperlink" Target="https://www.cqc.org.uk/guidance-providers/gps/gp-mythbuster-9-emergency-medicines-gp-practices" TargetMode="External"/><Relationship Id="rId51" Type="http://schemas.openxmlformats.org/officeDocument/2006/relationships/hyperlink" Target="https://www.bochealthcare.co.uk/en/quality-and-safety/safety-and-technical-data/storage-and-handling-medical-gas-cylinders/storage-and-handling.html"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practiceindex.co.uk/gp/forum/resources/covid-19-risk-assessment-an-aide-memoire.1518/" TargetMode="External"/><Relationship Id="rId17" Type="http://schemas.openxmlformats.org/officeDocument/2006/relationships/hyperlink" Target="https://practiceindex.co.uk/gp/forum/threads/mental-capacity-act.13877/" TargetMode="External"/><Relationship Id="rId25" Type="http://schemas.openxmlformats.org/officeDocument/2006/relationships/hyperlink" Target="https://www.nmc.org.uk/standards/code/" TargetMode="External"/><Relationship Id="rId33" Type="http://schemas.openxmlformats.org/officeDocument/2006/relationships/hyperlink" Target="https://www.bmj.com/content/371/bmj.m4563" TargetMode="External"/><Relationship Id="rId38" Type="http://schemas.openxmlformats.org/officeDocument/2006/relationships/hyperlink" Target="https://www.bing.com/videos/search?q=Treatment+Escalation+Plan&amp;docid=608029694149673912&amp;mid=C624D0E80917C6BDF1F0C624D0E80917C6BDF1F0&amp;view=detail&amp;FORM=VIRE" TargetMode="External"/><Relationship Id="rId46" Type="http://schemas.openxmlformats.org/officeDocument/2006/relationships/hyperlink" Target="https://www.cqc.org.uk/sites/default/files/20210318_dnacpr_printer-version.pdf" TargetMode="External"/><Relationship Id="rId59" Type="http://schemas.openxmlformats.org/officeDocument/2006/relationships/hyperlink" Target="https://www.resus.org.uk/library/2021-resuscitation-guidelines/adult-advanced-life-support-guidelines" TargetMode="External"/><Relationship Id="rId67" Type="http://schemas.openxmlformats.org/officeDocument/2006/relationships/hyperlink" Target="https://practiceindex.co.uk/gp/forum/resources/clinical-guidance-document-allergies-intolerances-and-sensitivities.1535/" TargetMode="External"/><Relationship Id="rId20" Type="http://schemas.openxmlformats.org/officeDocument/2006/relationships/hyperlink" Target="https://www.england.nhs.uk/wp-content/uploads/2015/06/trans-uec.pdf" TargetMode="External"/><Relationship Id="rId41" Type="http://schemas.openxmlformats.org/officeDocument/2006/relationships/hyperlink" Target="https://www.resus.org.uk/respect" TargetMode="External"/><Relationship Id="rId54" Type="http://schemas.openxmlformats.org/officeDocument/2006/relationships/hyperlink" Target="https://www.resus.org.uk/library/publications/publication-guide-automated-external-defibrillators" TargetMode="External"/><Relationship Id="rId62" Type="http://schemas.openxmlformats.org/officeDocument/2006/relationships/hyperlink" Target="https://www.resus.org.uk/library/2021-resuscitation-guidelines/paediatric-basic-life-support-guidelines"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racticeindex.co.uk/gp/forum/threads/basic-life-support-infants-and-children.14410/" TargetMode="External"/><Relationship Id="rId23" Type="http://schemas.openxmlformats.org/officeDocument/2006/relationships/hyperlink" Target="https://www.england.nhs.uk/ourwork/clinical-policy/sepsis/nationalearlywarningscore/" TargetMode="External"/><Relationship Id="rId28" Type="http://schemas.openxmlformats.org/officeDocument/2006/relationships/hyperlink" Target="https://practiceindex.co.uk/gp/forum/resources/pandemic-management-policy.1439/" TargetMode="External"/><Relationship Id="rId36" Type="http://schemas.openxmlformats.org/officeDocument/2006/relationships/hyperlink" Target="https://practiceindex.co.uk/gp/forum/resources/dnacpr-policy-wales.1788/" TargetMode="External"/><Relationship Id="rId49" Type="http://schemas.openxmlformats.org/officeDocument/2006/relationships/hyperlink" Target="https://practiceindex.co.uk/gp/forum/resources/emergency-equipment-location-poster.1583/" TargetMode="External"/><Relationship Id="rId57" Type="http://schemas.openxmlformats.org/officeDocument/2006/relationships/hyperlink" Target="https://www.resus.org.uk/home/faqs/faqs-basic-life-support-cpr" TargetMode="External"/><Relationship Id="rId10" Type="http://schemas.openxmlformats.org/officeDocument/2006/relationships/hyperlink" Target="https://www.resus.org.uk/library/additional-guidance/guidance-covid-19" TargetMode="External"/><Relationship Id="rId31" Type="http://schemas.openxmlformats.org/officeDocument/2006/relationships/hyperlink" Target="https://www.cqc.org.uk/guidance-providers/gps/gp-mythbuster-105-do-not-attempt-cardiopulmonary-resuscitation-dnacpr" TargetMode="External"/><Relationship Id="rId44" Type="http://schemas.openxmlformats.org/officeDocument/2006/relationships/hyperlink" Target="https://www.cqc.org.uk/news/releases/cqc-finds-combination-increasing-pressures-rapidly-developing-guidance-may-have" TargetMode="External"/><Relationship Id="rId52" Type="http://schemas.openxmlformats.org/officeDocument/2006/relationships/hyperlink" Target="https://practiceindex.co.uk/gp/forum/resources/medicines-medical-gases-storage-protocol.704/" TargetMode="External"/><Relationship Id="rId60" Type="http://schemas.openxmlformats.org/officeDocument/2006/relationships/hyperlink" Target="https://www.resus.org.uk/library/2021-resuscitation-guidelines/paediatric-advanced-life-support-guidelines" TargetMode="External"/><Relationship Id="rId65" Type="http://schemas.openxmlformats.org/officeDocument/2006/relationships/hyperlink" Target="https://www.resus.org.uk/"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us.org.uk/professional-resources" TargetMode="External"/><Relationship Id="rId13" Type="http://schemas.openxmlformats.org/officeDocument/2006/relationships/hyperlink" Target="https://practiceindex.co.uk/gp/forum/resources/clinical-guidance-document-allergies-intolerances-and-sensitivities.1535/" TargetMode="External"/><Relationship Id="rId18" Type="http://schemas.openxmlformats.org/officeDocument/2006/relationships/hyperlink" Target="https://hub.practiceindex.co.uk/courses?sort=name_asc&amp;name=risk&amp;showpublished=1&amp;shownotpublished=1&amp;mandatory=&amp;search=1&amp;tableview=0&amp;src=hub" TargetMode="External"/><Relationship Id="rId39" Type="http://schemas.openxmlformats.org/officeDocument/2006/relationships/hyperlink" Target="https://www.coventryrugbygpgateway.nhs.uk/resources/respect-form-v3/?gpage_id=10329" TargetMode="External"/><Relationship Id="rId34" Type="http://schemas.openxmlformats.org/officeDocument/2006/relationships/hyperlink" Target="https://practiceindex.co.uk/gp/forum/resources/dnacpr-policy-england.1756/" TargetMode="External"/><Relationship Id="rId50" Type="http://schemas.openxmlformats.org/officeDocument/2006/relationships/hyperlink" Target="https://practiceindex.co.uk/gp/forum/resources/record-retention-schedule.767/" TargetMode="External"/><Relationship Id="rId55" Type="http://schemas.openxmlformats.org/officeDocument/2006/relationships/hyperlink" Target="https://practiceindex.co.uk/gp/forum/resources/risk-assessment-toolkit.1464/" TargetMode="External"/><Relationship Id="rId7" Type="http://schemas.openxmlformats.org/officeDocument/2006/relationships/hyperlink" Target="https://www.cqc.org.uk/guidance-providers/gps/gp-mythbuster-1-resuscitation-gp-surgeries" TargetMode="External"/><Relationship Id="rId71"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4775</Words>
  <Characters>27223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Sultan Mohamed</cp:lastModifiedBy>
  <cp:revision>2</cp:revision>
  <cp:lastPrinted>2017-09-20T11:53:00Z</cp:lastPrinted>
  <dcterms:created xsi:type="dcterms:W3CDTF">2023-09-14T15:40:00Z</dcterms:created>
  <dcterms:modified xsi:type="dcterms:W3CDTF">2023-09-14T15:40:00Z</dcterms:modified>
  <dc:language>en-GB</dc:language>
</cp:coreProperties>
</file>