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DFA9" w14:textId="4B6218D8" w:rsidR="00E85096" w:rsidRPr="008F1C80" w:rsidRDefault="00AA320B" w:rsidP="00675084">
      <w:pPr>
        <w:jc w:val="center"/>
        <w:rPr>
          <w:rFonts w:ascii="Arial" w:hAnsi="Arial" w:cs="Arial"/>
          <w:b/>
          <w:sz w:val="36"/>
          <w:szCs w:val="36"/>
        </w:rPr>
      </w:pPr>
      <w:r w:rsidRPr="008F1C80">
        <w:rPr>
          <w:rFonts w:ascii="Arial" w:hAnsi="Arial" w:cs="Arial"/>
          <w:b/>
          <w:sz w:val="36"/>
          <w:szCs w:val="36"/>
        </w:rPr>
        <w:t xml:space="preserve">DNACPR </w:t>
      </w:r>
      <w:r w:rsidR="00BE5ED6" w:rsidRPr="008F1C80">
        <w:rPr>
          <w:rFonts w:ascii="Arial" w:hAnsi="Arial" w:cs="Arial"/>
          <w:b/>
          <w:sz w:val="36"/>
          <w:szCs w:val="36"/>
        </w:rPr>
        <w:t>Policy</w:t>
      </w:r>
      <w:r w:rsidR="00FC595E">
        <w:rPr>
          <w:rFonts w:ascii="Arial" w:hAnsi="Arial" w:cs="Arial"/>
          <w:b/>
          <w:sz w:val="36"/>
          <w:szCs w:val="36"/>
        </w:rPr>
        <w:t xml:space="preserve"> (</w:t>
      </w:r>
      <w:r w:rsidR="00353A3D">
        <w:rPr>
          <w:rFonts w:ascii="Arial" w:hAnsi="Arial" w:cs="Arial"/>
          <w:b/>
          <w:sz w:val="36"/>
          <w:szCs w:val="36"/>
        </w:rPr>
        <w:t>United Kingdom</w:t>
      </w:r>
      <w:r w:rsidR="00FC595E">
        <w:rPr>
          <w:rFonts w:ascii="Arial" w:hAnsi="Arial" w:cs="Arial"/>
          <w:b/>
          <w:sz w:val="36"/>
          <w:szCs w:val="36"/>
        </w:rPr>
        <w:t>)</w:t>
      </w:r>
    </w:p>
    <w:p w14:paraId="34CF158F" w14:textId="77777777" w:rsidR="00E85096" w:rsidRPr="008F1C8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8F1C80" w14:paraId="522235BE" w14:textId="77777777" w:rsidTr="009E3E2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Comments:</w:t>
            </w:r>
          </w:p>
        </w:tc>
      </w:tr>
      <w:tr w:rsidR="009E3E21" w:rsidRPr="008F1C80" w14:paraId="75B3BBF8" w14:textId="77777777" w:rsidTr="009E3E2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0503EC1" w:rsidR="009E3E21" w:rsidRPr="008F1C80" w:rsidRDefault="009E3E21" w:rsidP="009E3E21">
            <w:pPr>
              <w:jc w:val="center"/>
              <w:rPr>
                <w:rFonts w:ascii="Arial" w:eastAsia="Arial" w:hAnsi="Arial" w:cs="Arial"/>
                <w:spacing w:val="-2"/>
                <w:sz w:val="26"/>
                <w:szCs w:val="26"/>
              </w:rPr>
            </w:pPr>
            <w:r>
              <w:rPr>
                <w:rFonts w:ascii="Arial" w:eastAsia="Arial" w:hAnsi="Arial" w:cs="Arial"/>
                <w:spacing w:val="-2"/>
                <w:sz w:val="26"/>
                <w:szCs w:val="26"/>
              </w:rPr>
              <w:t>v1.3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1843447" w:rsidR="009E3E21" w:rsidRPr="008F1C80" w:rsidRDefault="009E3E21" w:rsidP="009E3E21">
            <w:pPr>
              <w:rPr>
                <w:rFonts w:ascii="Arial" w:eastAsia="Arial" w:hAnsi="Arial" w:cs="Arial"/>
                <w:spacing w:val="-2"/>
                <w:sz w:val="26"/>
                <w:szCs w:val="26"/>
              </w:rPr>
            </w:pPr>
            <w:r>
              <w:rPr>
                <w:rFonts w:ascii="Arial" w:eastAsia="Arial" w:hAnsi="Arial" w:cs="Arial"/>
                <w:spacing w:val="-2"/>
                <w:sz w:val="26"/>
                <w:szCs w:val="26"/>
              </w:rPr>
              <w:t>24/11/2022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7D64A2E" w:rsidR="009E3E21" w:rsidRPr="008F1C80" w:rsidRDefault="009E3E21" w:rsidP="009E3E21">
            <w:pPr>
              <w:rPr>
                <w:rFonts w:ascii="Arial" w:eastAsia="Arial" w:hAnsi="Arial" w:cs="Arial"/>
                <w:spacing w:val="-2"/>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22E8AC64" w:rsidR="009E3E21" w:rsidRPr="008F1C80" w:rsidRDefault="009E3E21" w:rsidP="009E3E21">
            <w:pPr>
              <w:rPr>
                <w:rFonts w:ascii="Arial" w:eastAsia="Arial" w:hAnsi="Arial" w:cs="Arial"/>
                <w:spacing w:val="-2"/>
                <w:sz w:val="26"/>
                <w:szCs w:val="26"/>
              </w:rPr>
            </w:pPr>
            <w:r>
              <w:rPr>
                <w:rFonts w:ascii="Arial" w:eastAsia="Arial" w:hAnsi="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9E3E21" w:rsidRPr="008F1C80" w:rsidRDefault="009E3E21" w:rsidP="009E3E21">
            <w:pPr>
              <w:rPr>
                <w:rFonts w:ascii="Arial" w:hAnsi="Arial" w:cs="Arial"/>
                <w:sz w:val="26"/>
                <w:szCs w:val="26"/>
              </w:rPr>
            </w:pPr>
          </w:p>
        </w:tc>
      </w:tr>
      <w:tr w:rsidR="009E3E21" w:rsidRPr="008F1C80" w14:paraId="7C35111B" w14:textId="77777777" w:rsidTr="009E3E2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532A3E76" w:rsidR="009E3E21" w:rsidRPr="008F1C80" w:rsidRDefault="009E3E21" w:rsidP="001528E4">
            <w:pPr>
              <w:jc w:val="center"/>
              <w:rPr>
                <w:rFonts w:ascii="Arial" w:hAnsi="Arial" w:cs="Arial"/>
                <w:sz w:val="26"/>
                <w:szCs w:val="26"/>
              </w:rPr>
            </w:pPr>
            <w:r>
              <w:rPr>
                <w:rFonts w:ascii="Arial" w:eastAsia="Arial" w:hAnsi="Arial" w:cs="Arial"/>
                <w:spacing w:val="-2"/>
                <w:sz w:val="26"/>
                <w:szCs w:val="26"/>
              </w:rPr>
              <w:t>v1.5</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16AB0F4F" w:rsidR="009E3E21" w:rsidRPr="008F1C80" w:rsidRDefault="009E3E21" w:rsidP="009E3E21">
            <w:pPr>
              <w:rPr>
                <w:rFonts w:ascii="Arial" w:hAnsi="Arial" w:cs="Arial"/>
                <w:sz w:val="26"/>
                <w:szCs w:val="26"/>
              </w:rPr>
            </w:pPr>
            <w:r>
              <w:rPr>
                <w:rFonts w:ascii="Arial" w:eastAsia="Arial" w:hAnsi="Arial" w:cs="Arial"/>
                <w:spacing w:val="-2"/>
                <w:sz w:val="26"/>
                <w:szCs w:val="26"/>
              </w:rPr>
              <w:t>15/12/2024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3B770664" w:rsidR="009E3E21" w:rsidRPr="008F1C80" w:rsidRDefault="009E3E21" w:rsidP="009E3E21">
            <w:pPr>
              <w:rPr>
                <w:rFonts w:ascii="Arial" w:hAnsi="Arial" w:cs="Arial"/>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603D091C" w:rsidR="009E3E21" w:rsidRPr="008F1C80" w:rsidRDefault="009E3E21" w:rsidP="009E3E21">
            <w:pPr>
              <w:rPr>
                <w:rFonts w:ascii="Arial" w:hAnsi="Arial" w:cs="Arial"/>
                <w:sz w:val="26"/>
                <w:szCs w:val="26"/>
              </w:rPr>
            </w:pPr>
            <w:r>
              <w:rPr>
                <w:rFonts w:ascii="Arial" w:eastAsia="Arial" w:hAnsi="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9E3E21" w:rsidRPr="008F1C80" w:rsidRDefault="009E3E21" w:rsidP="009E3E21">
            <w:pPr>
              <w:rPr>
                <w:rFonts w:ascii="Arial" w:hAnsi="Arial" w:cs="Arial"/>
                <w:sz w:val="26"/>
                <w:szCs w:val="26"/>
              </w:rPr>
            </w:pPr>
          </w:p>
        </w:tc>
      </w:tr>
      <w:tr w:rsidR="009E3E21" w:rsidRPr="008F1C80" w14:paraId="0E2C595C" w14:textId="77777777" w:rsidTr="009E3E2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9E3E21" w:rsidRPr="008F1C80" w:rsidRDefault="009E3E21" w:rsidP="009E3E2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20936EC2" w:rsidR="009E3E21" w:rsidRPr="008F1C80" w:rsidRDefault="009E3E21" w:rsidP="009E3E21">
            <w:pPr>
              <w:rPr>
                <w:rFonts w:ascii="Arial" w:hAnsi="Arial" w:cs="Arial"/>
                <w:sz w:val="26"/>
                <w:szCs w:val="26"/>
              </w:rPr>
            </w:pPr>
            <w:r>
              <w:rPr>
                <w:rFonts w:ascii="Arial" w:hAnsi="Arial" w:cs="Arial"/>
                <w:sz w:val="26"/>
                <w:szCs w:val="26"/>
              </w:rPr>
              <w:t>December 2026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9E3E21" w:rsidRPr="008F1C80" w:rsidRDefault="009E3E21" w:rsidP="009E3E21">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9E3E21" w:rsidRPr="008F1C80" w:rsidRDefault="009E3E21" w:rsidP="009E3E21">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530CDE6B" w:rsidR="009E3E21" w:rsidRPr="008F1C80" w:rsidRDefault="009E3E21" w:rsidP="009E3E21">
            <w:pPr>
              <w:rPr>
                <w:rFonts w:ascii="Arial" w:hAnsi="Arial" w:cs="Arial"/>
                <w:sz w:val="26"/>
                <w:szCs w:val="26"/>
              </w:rPr>
            </w:pPr>
            <w:r>
              <w:rPr>
                <w:rFonts w:ascii="Arial" w:hAnsi="Arial" w:cs="Arial"/>
                <w:sz w:val="26"/>
                <w:szCs w:val="26"/>
              </w:rPr>
              <w:t>Next review</w:t>
            </w:r>
          </w:p>
        </w:tc>
      </w:tr>
      <w:tr w:rsidR="00675084" w:rsidRPr="008F1C80" w14:paraId="12E8CE9E" w14:textId="77777777" w:rsidTr="009E3E2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F1C80" w:rsidRDefault="00675084"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8F1C80" w:rsidRDefault="00675084"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F1C80" w:rsidRDefault="00675084" w:rsidP="00515291">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F1C80" w:rsidRDefault="00675084" w:rsidP="00515291">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8F1C80" w:rsidRDefault="00675084" w:rsidP="00515291">
            <w:pPr>
              <w:rPr>
                <w:rFonts w:ascii="Arial" w:hAnsi="Arial" w:cs="Arial"/>
                <w:sz w:val="26"/>
                <w:szCs w:val="26"/>
              </w:rPr>
            </w:pPr>
          </w:p>
        </w:tc>
      </w:tr>
    </w:tbl>
    <w:p w14:paraId="34A22122" w14:textId="77777777" w:rsidR="00E85096" w:rsidRPr="00172DBE" w:rsidRDefault="00E85096">
      <w:pPr>
        <w:rPr>
          <w:rFonts w:ascii="Arial" w:hAnsi="Arial" w:cs="Arial"/>
          <w:sz w:val="28"/>
          <w:szCs w:val="28"/>
        </w:rPr>
      </w:pPr>
    </w:p>
    <w:p w14:paraId="5D360308" w14:textId="67E2502D" w:rsidR="00D85E4D" w:rsidRPr="00653591" w:rsidRDefault="00D85E4D" w:rsidP="000858D5">
      <w:pPr>
        <w:rPr>
          <w:rFonts w:ascii="Arial" w:hAnsi="Arial" w:cs="Arial"/>
          <w:sz w:val="20"/>
          <w:szCs w:val="28"/>
        </w:rPr>
      </w:pPr>
    </w:p>
    <w:p w14:paraId="7A631983" w14:textId="77777777" w:rsidR="009E3E21" w:rsidRDefault="009E3E21">
      <w:pPr>
        <w:rPr>
          <w:rFonts w:ascii="Arial" w:hAnsi="Arial" w:cs="Arial"/>
          <w:b/>
          <w:sz w:val="28"/>
          <w:szCs w:val="28"/>
        </w:rPr>
      </w:pPr>
      <w:r>
        <w:rPr>
          <w:rFonts w:ascii="Arial" w:hAnsi="Arial" w:cs="Arial"/>
          <w:b/>
          <w:sz w:val="28"/>
          <w:szCs w:val="28"/>
        </w:rPr>
        <w:br w:type="page"/>
      </w:r>
    </w:p>
    <w:p w14:paraId="42297B3D" w14:textId="621929BD" w:rsidR="00A43988" w:rsidRPr="00A90DDD" w:rsidRDefault="00A43988" w:rsidP="00C33BD8">
      <w:pPr>
        <w:ind w:right="515"/>
        <w:rPr>
          <w:rFonts w:ascii="Arial" w:hAnsi="Arial" w:cs="Arial"/>
          <w:b/>
          <w:sz w:val="28"/>
          <w:szCs w:val="28"/>
        </w:rPr>
      </w:pPr>
      <w:r w:rsidRPr="00A90DDD">
        <w:rPr>
          <w:rFonts w:ascii="Arial" w:hAnsi="Arial" w:cs="Arial"/>
          <w:b/>
          <w:sz w:val="28"/>
          <w:szCs w:val="28"/>
        </w:rPr>
        <w:lastRenderedPageBreak/>
        <w:t>Table of contents</w:t>
      </w:r>
    </w:p>
    <w:p w14:paraId="5CDDF0FE" w14:textId="5C20F2FD" w:rsidR="0009304D" w:rsidRPr="00D65671" w:rsidRDefault="00A43988">
      <w:pPr>
        <w:pStyle w:val="TOC1"/>
        <w:rPr>
          <w:rFonts w:ascii="Arial" w:eastAsiaTheme="minorEastAsia" w:hAnsi="Arial" w:cs="Arial"/>
          <w:b w:val="0"/>
          <w:bCs w:val="0"/>
          <w:caps w:val="0"/>
          <w:noProof/>
          <w:kern w:val="2"/>
          <w:lang w:eastAsia="en-GB"/>
          <w14:ligatures w14:val="standardContextual"/>
        </w:rPr>
      </w:pPr>
      <w:r w:rsidRPr="00D65671">
        <w:rPr>
          <w:rFonts w:ascii="Arial" w:hAnsi="Arial" w:cs="Arial"/>
          <w:caps w:val="0"/>
          <w:sz w:val="20"/>
          <w:szCs w:val="28"/>
        </w:rPr>
        <w:fldChar w:fldCharType="begin"/>
      </w:r>
      <w:r w:rsidRPr="00D65671">
        <w:rPr>
          <w:rFonts w:ascii="Arial" w:hAnsi="Arial" w:cs="Arial"/>
          <w:caps w:val="0"/>
          <w:sz w:val="20"/>
          <w:szCs w:val="28"/>
        </w:rPr>
        <w:instrText xml:space="preserve"> TOC \o "1-3" \h \z \u </w:instrText>
      </w:r>
      <w:r w:rsidRPr="00D65671">
        <w:rPr>
          <w:rFonts w:ascii="Arial" w:hAnsi="Arial" w:cs="Arial"/>
          <w:caps w:val="0"/>
          <w:sz w:val="20"/>
          <w:szCs w:val="28"/>
        </w:rPr>
        <w:fldChar w:fldCharType="separate"/>
      </w:r>
      <w:hyperlink w:anchor="_Toc184825941" w:history="1">
        <w:r w:rsidR="0009304D" w:rsidRPr="00D65671">
          <w:rPr>
            <w:rStyle w:val="Hyperlink"/>
            <w:rFonts w:ascii="Arial" w:hAnsi="Arial" w:cs="Arial"/>
            <w:caps w:val="0"/>
            <w:noProof/>
          </w:rPr>
          <w:t>1</w:t>
        </w:r>
        <w:r w:rsidR="0009304D" w:rsidRPr="00D65671">
          <w:rPr>
            <w:rFonts w:ascii="Arial" w:eastAsiaTheme="minorEastAsia" w:hAnsi="Arial" w:cs="Arial"/>
            <w:b w:val="0"/>
            <w:bCs w:val="0"/>
            <w:caps w:val="0"/>
            <w:noProof/>
            <w:kern w:val="2"/>
            <w:lang w:eastAsia="en-GB"/>
            <w14:ligatures w14:val="standardContextual"/>
          </w:rPr>
          <w:tab/>
        </w:r>
        <w:r w:rsidR="0009304D" w:rsidRPr="00D65671">
          <w:rPr>
            <w:rStyle w:val="Hyperlink"/>
            <w:rFonts w:ascii="Arial" w:hAnsi="Arial" w:cs="Arial"/>
            <w:caps w:val="0"/>
            <w:noProof/>
          </w:rPr>
          <w:t>Introduction</w:t>
        </w:r>
        <w:r w:rsidR="0009304D" w:rsidRPr="00D65671">
          <w:rPr>
            <w:rFonts w:ascii="Arial" w:hAnsi="Arial" w:cs="Arial"/>
            <w:caps w:val="0"/>
            <w:noProof/>
            <w:webHidden/>
          </w:rPr>
          <w:tab/>
        </w:r>
        <w:r w:rsidR="0009304D" w:rsidRPr="00D65671">
          <w:rPr>
            <w:rFonts w:ascii="Arial" w:hAnsi="Arial" w:cs="Arial"/>
            <w:caps w:val="0"/>
            <w:noProof/>
            <w:webHidden/>
          </w:rPr>
          <w:fldChar w:fldCharType="begin"/>
        </w:r>
        <w:r w:rsidR="0009304D" w:rsidRPr="00D65671">
          <w:rPr>
            <w:rFonts w:ascii="Arial" w:hAnsi="Arial" w:cs="Arial"/>
            <w:caps w:val="0"/>
            <w:noProof/>
            <w:webHidden/>
          </w:rPr>
          <w:instrText xml:space="preserve"> PAGEREF _Toc184825941 \h </w:instrText>
        </w:r>
        <w:r w:rsidR="0009304D" w:rsidRPr="00D65671">
          <w:rPr>
            <w:rFonts w:ascii="Arial" w:hAnsi="Arial" w:cs="Arial"/>
            <w:caps w:val="0"/>
            <w:noProof/>
            <w:webHidden/>
          </w:rPr>
        </w:r>
        <w:r w:rsidR="0009304D" w:rsidRPr="00D65671">
          <w:rPr>
            <w:rFonts w:ascii="Arial" w:hAnsi="Arial" w:cs="Arial"/>
            <w:caps w:val="0"/>
            <w:noProof/>
            <w:webHidden/>
          </w:rPr>
          <w:fldChar w:fldCharType="separate"/>
        </w:r>
        <w:r w:rsidR="00D65671" w:rsidRPr="00D65671">
          <w:rPr>
            <w:rFonts w:ascii="Arial" w:hAnsi="Arial" w:cs="Arial"/>
            <w:caps w:val="0"/>
            <w:noProof/>
            <w:webHidden/>
          </w:rPr>
          <w:t>2</w:t>
        </w:r>
        <w:r w:rsidR="0009304D" w:rsidRPr="00D65671">
          <w:rPr>
            <w:rFonts w:ascii="Arial" w:hAnsi="Arial" w:cs="Arial"/>
            <w:caps w:val="0"/>
            <w:noProof/>
            <w:webHidden/>
          </w:rPr>
          <w:fldChar w:fldCharType="end"/>
        </w:r>
      </w:hyperlink>
    </w:p>
    <w:p w14:paraId="497334B6" w14:textId="3D0BA54D"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42" w:history="1">
        <w:r w:rsidRPr="00D65671">
          <w:rPr>
            <w:rStyle w:val="Hyperlink"/>
            <w:rFonts w:ascii="Arial" w:hAnsi="Arial" w:cs="Arial"/>
            <w:noProof/>
          </w:rPr>
          <w:t>1.1</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Policy statement</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_Toc184825942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2</w:t>
        </w:r>
        <w:r w:rsidRPr="00D65671">
          <w:rPr>
            <w:rFonts w:ascii="Arial" w:hAnsi="Arial" w:cs="Arial"/>
            <w:noProof/>
            <w:webHidden/>
          </w:rPr>
          <w:fldChar w:fldCharType="end"/>
        </w:r>
      </w:hyperlink>
    </w:p>
    <w:p w14:paraId="63BA0E4B" w14:textId="323F91CA"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43" w:history="1">
        <w:r w:rsidRPr="00D65671">
          <w:rPr>
            <w:rStyle w:val="Hyperlink"/>
            <w:rFonts w:ascii="Arial" w:hAnsi="Arial" w:cs="Arial"/>
            <w:noProof/>
          </w:rPr>
          <w:t>1.2</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Status</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_Toc184825943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2</w:t>
        </w:r>
        <w:r w:rsidRPr="00D65671">
          <w:rPr>
            <w:rFonts w:ascii="Arial" w:hAnsi="Arial" w:cs="Arial"/>
            <w:noProof/>
            <w:webHidden/>
          </w:rPr>
          <w:fldChar w:fldCharType="end"/>
        </w:r>
      </w:hyperlink>
    </w:p>
    <w:p w14:paraId="73C34DD3" w14:textId="6FCE60B5" w:rsidR="0009304D" w:rsidRPr="00D65671" w:rsidRDefault="0009304D">
      <w:pPr>
        <w:pStyle w:val="TOC1"/>
        <w:rPr>
          <w:rFonts w:ascii="Arial" w:eastAsiaTheme="minorEastAsia" w:hAnsi="Arial" w:cs="Arial"/>
          <w:b w:val="0"/>
          <w:bCs w:val="0"/>
          <w:caps w:val="0"/>
          <w:noProof/>
          <w:kern w:val="2"/>
          <w:lang w:eastAsia="en-GB"/>
          <w14:ligatures w14:val="standardContextual"/>
        </w:rPr>
      </w:pPr>
      <w:hyperlink w:anchor="_Toc184825944" w:history="1">
        <w:r w:rsidRPr="00D65671">
          <w:rPr>
            <w:rStyle w:val="Hyperlink"/>
            <w:rFonts w:ascii="Arial" w:hAnsi="Arial" w:cs="Arial"/>
            <w:caps w:val="0"/>
            <w:noProof/>
          </w:rPr>
          <w:t>2</w:t>
        </w:r>
        <w:r w:rsidRPr="00D65671">
          <w:rPr>
            <w:rFonts w:ascii="Arial" w:eastAsiaTheme="minorEastAsia" w:hAnsi="Arial" w:cs="Arial"/>
            <w:b w:val="0"/>
            <w:bCs w:val="0"/>
            <w:caps w:val="0"/>
            <w:noProof/>
            <w:kern w:val="2"/>
            <w:lang w:eastAsia="en-GB"/>
            <w14:ligatures w14:val="standardContextual"/>
          </w:rPr>
          <w:tab/>
        </w:r>
        <w:r w:rsidRPr="00D65671">
          <w:rPr>
            <w:rStyle w:val="Hyperlink"/>
            <w:rFonts w:ascii="Arial" w:hAnsi="Arial" w:cs="Arial"/>
            <w:caps w:val="0"/>
            <w:noProof/>
          </w:rPr>
          <w:t>Supporting DNACPR</w:t>
        </w:r>
        <w:r w:rsidRPr="00D65671">
          <w:rPr>
            <w:rFonts w:ascii="Arial" w:hAnsi="Arial" w:cs="Arial"/>
            <w:caps w:val="0"/>
            <w:noProof/>
            <w:webHidden/>
          </w:rPr>
          <w:tab/>
        </w:r>
        <w:r w:rsidRPr="00D65671">
          <w:rPr>
            <w:rFonts w:ascii="Arial" w:hAnsi="Arial" w:cs="Arial"/>
            <w:caps w:val="0"/>
            <w:noProof/>
            <w:webHidden/>
          </w:rPr>
          <w:fldChar w:fldCharType="begin"/>
        </w:r>
        <w:r w:rsidRPr="00D65671">
          <w:rPr>
            <w:rFonts w:ascii="Arial" w:hAnsi="Arial" w:cs="Arial"/>
            <w:caps w:val="0"/>
            <w:noProof/>
            <w:webHidden/>
          </w:rPr>
          <w:instrText xml:space="preserve"> PAGEREF _Toc184825944 \h </w:instrText>
        </w:r>
        <w:r w:rsidRPr="00D65671">
          <w:rPr>
            <w:rFonts w:ascii="Arial" w:hAnsi="Arial" w:cs="Arial"/>
            <w:caps w:val="0"/>
            <w:noProof/>
            <w:webHidden/>
          </w:rPr>
        </w:r>
        <w:r w:rsidRPr="00D65671">
          <w:rPr>
            <w:rFonts w:ascii="Arial" w:hAnsi="Arial" w:cs="Arial"/>
            <w:caps w:val="0"/>
            <w:noProof/>
            <w:webHidden/>
          </w:rPr>
          <w:fldChar w:fldCharType="separate"/>
        </w:r>
        <w:r w:rsidR="00D65671" w:rsidRPr="00D65671">
          <w:rPr>
            <w:rFonts w:ascii="Arial" w:hAnsi="Arial" w:cs="Arial"/>
            <w:caps w:val="0"/>
            <w:noProof/>
            <w:webHidden/>
          </w:rPr>
          <w:t>2</w:t>
        </w:r>
        <w:r w:rsidRPr="00D65671">
          <w:rPr>
            <w:rFonts w:ascii="Arial" w:hAnsi="Arial" w:cs="Arial"/>
            <w:caps w:val="0"/>
            <w:noProof/>
            <w:webHidden/>
          </w:rPr>
          <w:fldChar w:fldCharType="end"/>
        </w:r>
      </w:hyperlink>
    </w:p>
    <w:p w14:paraId="268D9E27" w14:textId="341FC221"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45" w:history="1">
        <w:r w:rsidRPr="00D65671">
          <w:rPr>
            <w:rStyle w:val="Hyperlink"/>
            <w:rFonts w:ascii="Arial" w:hAnsi="Arial" w:cs="Arial"/>
            <w:noProof/>
          </w:rPr>
          <w:t>2.1</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Advanced care planning</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_Toc184825945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2</w:t>
        </w:r>
        <w:r w:rsidRPr="00D65671">
          <w:rPr>
            <w:rFonts w:ascii="Arial" w:hAnsi="Arial" w:cs="Arial"/>
            <w:noProof/>
            <w:webHidden/>
          </w:rPr>
          <w:fldChar w:fldCharType="end"/>
        </w:r>
      </w:hyperlink>
    </w:p>
    <w:p w14:paraId="21F8F372" w14:textId="2DE0F660"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46" w:history="1">
        <w:r w:rsidRPr="00D65671">
          <w:rPr>
            <w:rStyle w:val="Hyperlink"/>
            <w:rFonts w:ascii="Arial" w:hAnsi="Arial" w:cs="Arial"/>
            <w:noProof/>
          </w:rPr>
          <w:t>2.2</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Decision making</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_Toc184825946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2</w:t>
        </w:r>
        <w:r w:rsidRPr="00D65671">
          <w:rPr>
            <w:rFonts w:ascii="Arial" w:hAnsi="Arial" w:cs="Arial"/>
            <w:noProof/>
            <w:webHidden/>
          </w:rPr>
          <w:fldChar w:fldCharType="end"/>
        </w:r>
      </w:hyperlink>
    </w:p>
    <w:p w14:paraId="66A01582" w14:textId="22DE1F8B"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47" w:history="1">
        <w:r w:rsidRPr="00D65671">
          <w:rPr>
            <w:rStyle w:val="Hyperlink"/>
            <w:rFonts w:ascii="Arial" w:hAnsi="Arial" w:cs="Arial"/>
            <w:noProof/>
          </w:rPr>
          <w:t>2.3</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Advance care planning</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_Toc184825947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3</w:t>
        </w:r>
        <w:r w:rsidRPr="00D65671">
          <w:rPr>
            <w:rFonts w:ascii="Arial" w:hAnsi="Arial" w:cs="Arial"/>
            <w:noProof/>
            <w:webHidden/>
          </w:rPr>
          <w:fldChar w:fldCharType="end"/>
        </w:r>
      </w:hyperlink>
    </w:p>
    <w:p w14:paraId="266605CD" w14:textId="7322F10B"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48" w:history="1">
        <w:r w:rsidRPr="00D65671">
          <w:rPr>
            <w:rStyle w:val="Hyperlink"/>
            <w:rFonts w:ascii="Arial" w:hAnsi="Arial" w:cs="Arial"/>
            <w:noProof/>
          </w:rPr>
          <w:t>2.4</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ReSPECT</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_Toc184825948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3</w:t>
        </w:r>
        <w:r w:rsidRPr="00D65671">
          <w:rPr>
            <w:rFonts w:ascii="Arial" w:hAnsi="Arial" w:cs="Arial"/>
            <w:noProof/>
            <w:webHidden/>
          </w:rPr>
          <w:fldChar w:fldCharType="end"/>
        </w:r>
      </w:hyperlink>
    </w:p>
    <w:p w14:paraId="32F960B1" w14:textId="1ADA7A8F"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49" w:history="1">
        <w:r w:rsidRPr="00D65671">
          <w:rPr>
            <w:rStyle w:val="Hyperlink"/>
            <w:rFonts w:ascii="Arial" w:hAnsi="Arial" w:cs="Arial"/>
            <w:noProof/>
          </w:rPr>
          <w:t>2.5</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Advance Decision to Refuse Treatment (ADRT)</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_Toc184825949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3</w:t>
        </w:r>
        <w:r w:rsidRPr="00D65671">
          <w:rPr>
            <w:rFonts w:ascii="Arial" w:hAnsi="Arial" w:cs="Arial"/>
            <w:noProof/>
            <w:webHidden/>
          </w:rPr>
          <w:fldChar w:fldCharType="end"/>
        </w:r>
      </w:hyperlink>
    </w:p>
    <w:p w14:paraId="23FF2A43" w14:textId="7129F591" w:rsidR="0009304D" w:rsidRPr="00D65671" w:rsidRDefault="0009304D">
      <w:pPr>
        <w:pStyle w:val="TOC1"/>
        <w:rPr>
          <w:rFonts w:ascii="Arial" w:eastAsiaTheme="minorEastAsia" w:hAnsi="Arial" w:cs="Arial"/>
          <w:b w:val="0"/>
          <w:bCs w:val="0"/>
          <w:caps w:val="0"/>
          <w:noProof/>
          <w:kern w:val="2"/>
          <w:lang w:eastAsia="en-GB"/>
          <w14:ligatures w14:val="standardContextual"/>
        </w:rPr>
      </w:pPr>
      <w:hyperlink w:anchor="_Toc184825950" w:history="1">
        <w:r w:rsidRPr="00D65671">
          <w:rPr>
            <w:rStyle w:val="Hyperlink"/>
            <w:rFonts w:ascii="Arial" w:hAnsi="Arial" w:cs="Arial"/>
            <w:caps w:val="0"/>
            <w:noProof/>
          </w:rPr>
          <w:t>3</w:t>
        </w:r>
        <w:r w:rsidRPr="00D65671">
          <w:rPr>
            <w:rFonts w:ascii="Arial" w:eastAsiaTheme="minorEastAsia" w:hAnsi="Arial" w:cs="Arial"/>
            <w:b w:val="0"/>
            <w:bCs w:val="0"/>
            <w:caps w:val="0"/>
            <w:noProof/>
            <w:kern w:val="2"/>
            <w:lang w:eastAsia="en-GB"/>
            <w14:ligatures w14:val="standardContextual"/>
          </w:rPr>
          <w:tab/>
        </w:r>
        <w:r w:rsidRPr="00D65671">
          <w:rPr>
            <w:rStyle w:val="Hyperlink"/>
            <w:rFonts w:ascii="Arial" w:hAnsi="Arial" w:cs="Arial"/>
            <w:caps w:val="0"/>
            <w:noProof/>
          </w:rPr>
          <w:t>Children and young persons under 18 years of age</w:t>
        </w:r>
        <w:r w:rsidRPr="00D65671">
          <w:rPr>
            <w:rFonts w:ascii="Arial" w:hAnsi="Arial" w:cs="Arial"/>
            <w:caps w:val="0"/>
            <w:noProof/>
            <w:webHidden/>
          </w:rPr>
          <w:tab/>
        </w:r>
        <w:r w:rsidRPr="00D65671">
          <w:rPr>
            <w:rFonts w:ascii="Arial" w:hAnsi="Arial" w:cs="Arial"/>
            <w:caps w:val="0"/>
            <w:noProof/>
            <w:webHidden/>
          </w:rPr>
          <w:fldChar w:fldCharType="begin"/>
        </w:r>
        <w:r w:rsidRPr="00D65671">
          <w:rPr>
            <w:rFonts w:ascii="Arial" w:hAnsi="Arial" w:cs="Arial"/>
            <w:caps w:val="0"/>
            <w:noProof/>
            <w:webHidden/>
          </w:rPr>
          <w:instrText xml:space="preserve"> PAGEREF _Toc184825950 \h </w:instrText>
        </w:r>
        <w:r w:rsidRPr="00D65671">
          <w:rPr>
            <w:rFonts w:ascii="Arial" w:hAnsi="Arial" w:cs="Arial"/>
            <w:caps w:val="0"/>
            <w:noProof/>
            <w:webHidden/>
          </w:rPr>
        </w:r>
        <w:r w:rsidRPr="00D65671">
          <w:rPr>
            <w:rFonts w:ascii="Arial" w:hAnsi="Arial" w:cs="Arial"/>
            <w:caps w:val="0"/>
            <w:noProof/>
            <w:webHidden/>
          </w:rPr>
          <w:fldChar w:fldCharType="separate"/>
        </w:r>
        <w:r w:rsidR="00D65671" w:rsidRPr="00D65671">
          <w:rPr>
            <w:rFonts w:ascii="Arial" w:hAnsi="Arial" w:cs="Arial"/>
            <w:caps w:val="0"/>
            <w:noProof/>
            <w:webHidden/>
          </w:rPr>
          <w:t>3</w:t>
        </w:r>
        <w:r w:rsidRPr="00D65671">
          <w:rPr>
            <w:rFonts w:ascii="Arial" w:hAnsi="Arial" w:cs="Arial"/>
            <w:caps w:val="0"/>
            <w:noProof/>
            <w:webHidden/>
          </w:rPr>
          <w:fldChar w:fldCharType="end"/>
        </w:r>
      </w:hyperlink>
    </w:p>
    <w:p w14:paraId="0F051C84" w14:textId="3A2F7B75"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51" w:history="1">
        <w:r w:rsidRPr="00D65671">
          <w:rPr>
            <w:rStyle w:val="Hyperlink"/>
            <w:rFonts w:ascii="Arial" w:hAnsi="Arial" w:cs="Arial"/>
            <w:noProof/>
          </w:rPr>
          <w:t>3.1</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Requirements</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_Toc184825951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3</w:t>
        </w:r>
        <w:r w:rsidRPr="00D65671">
          <w:rPr>
            <w:rFonts w:ascii="Arial" w:hAnsi="Arial" w:cs="Arial"/>
            <w:noProof/>
            <w:webHidden/>
          </w:rPr>
          <w:fldChar w:fldCharType="end"/>
        </w:r>
      </w:hyperlink>
    </w:p>
    <w:p w14:paraId="5223B511" w14:textId="7A5BA7EA"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52" w:history="1">
        <w:r w:rsidRPr="00D65671">
          <w:rPr>
            <w:rStyle w:val="Hyperlink"/>
            <w:rFonts w:ascii="Arial" w:hAnsi="Arial" w:cs="Arial"/>
            <w:noProof/>
          </w:rPr>
          <w:t>3.2</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Legal considerations</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_Toc184825952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4</w:t>
        </w:r>
        <w:r w:rsidRPr="00D65671">
          <w:rPr>
            <w:rFonts w:ascii="Arial" w:hAnsi="Arial" w:cs="Arial"/>
            <w:noProof/>
            <w:webHidden/>
          </w:rPr>
          <w:fldChar w:fldCharType="end"/>
        </w:r>
      </w:hyperlink>
    </w:p>
    <w:p w14:paraId="3EE62119" w14:textId="6FE29CEF" w:rsidR="0009304D" w:rsidRPr="00D65671" w:rsidRDefault="0009304D">
      <w:pPr>
        <w:pStyle w:val="TOC1"/>
        <w:rPr>
          <w:rFonts w:ascii="Arial" w:eastAsiaTheme="minorEastAsia" w:hAnsi="Arial" w:cs="Arial"/>
          <w:b w:val="0"/>
          <w:bCs w:val="0"/>
          <w:caps w:val="0"/>
          <w:noProof/>
          <w:kern w:val="2"/>
          <w:lang w:eastAsia="en-GB"/>
          <w14:ligatures w14:val="standardContextual"/>
        </w:rPr>
      </w:pPr>
      <w:hyperlink w:anchor="_Toc184825953" w:history="1">
        <w:r w:rsidRPr="00D65671">
          <w:rPr>
            <w:rStyle w:val="Hyperlink"/>
            <w:rFonts w:ascii="Arial" w:hAnsi="Arial" w:cs="Arial"/>
            <w:caps w:val="0"/>
            <w:noProof/>
          </w:rPr>
          <w:t>4</w:t>
        </w:r>
        <w:r w:rsidRPr="00D65671">
          <w:rPr>
            <w:rFonts w:ascii="Arial" w:eastAsiaTheme="minorEastAsia" w:hAnsi="Arial" w:cs="Arial"/>
            <w:b w:val="0"/>
            <w:bCs w:val="0"/>
            <w:caps w:val="0"/>
            <w:noProof/>
            <w:kern w:val="2"/>
            <w:lang w:eastAsia="en-GB"/>
            <w14:ligatures w14:val="standardContextual"/>
          </w:rPr>
          <w:tab/>
        </w:r>
        <w:r w:rsidRPr="00D65671">
          <w:rPr>
            <w:rStyle w:val="Hyperlink"/>
            <w:rFonts w:ascii="Arial" w:hAnsi="Arial" w:cs="Arial"/>
            <w:caps w:val="0"/>
            <w:noProof/>
          </w:rPr>
          <w:t>People with a learning disability and/or autism</w:t>
        </w:r>
        <w:r w:rsidRPr="00D65671">
          <w:rPr>
            <w:rFonts w:ascii="Arial" w:hAnsi="Arial" w:cs="Arial"/>
            <w:caps w:val="0"/>
            <w:noProof/>
            <w:webHidden/>
          </w:rPr>
          <w:tab/>
        </w:r>
        <w:r w:rsidRPr="00D65671">
          <w:rPr>
            <w:rFonts w:ascii="Arial" w:hAnsi="Arial" w:cs="Arial"/>
            <w:caps w:val="0"/>
            <w:noProof/>
            <w:webHidden/>
          </w:rPr>
          <w:fldChar w:fldCharType="begin"/>
        </w:r>
        <w:r w:rsidRPr="00D65671">
          <w:rPr>
            <w:rFonts w:ascii="Arial" w:hAnsi="Arial" w:cs="Arial"/>
            <w:caps w:val="0"/>
            <w:noProof/>
            <w:webHidden/>
          </w:rPr>
          <w:instrText xml:space="preserve"> PAGEREF _Toc184825953 \h </w:instrText>
        </w:r>
        <w:r w:rsidRPr="00D65671">
          <w:rPr>
            <w:rFonts w:ascii="Arial" w:hAnsi="Arial" w:cs="Arial"/>
            <w:caps w:val="0"/>
            <w:noProof/>
            <w:webHidden/>
          </w:rPr>
        </w:r>
        <w:r w:rsidRPr="00D65671">
          <w:rPr>
            <w:rFonts w:ascii="Arial" w:hAnsi="Arial" w:cs="Arial"/>
            <w:caps w:val="0"/>
            <w:noProof/>
            <w:webHidden/>
          </w:rPr>
          <w:fldChar w:fldCharType="separate"/>
        </w:r>
        <w:r w:rsidR="00D65671" w:rsidRPr="00D65671">
          <w:rPr>
            <w:rFonts w:ascii="Arial" w:hAnsi="Arial" w:cs="Arial"/>
            <w:caps w:val="0"/>
            <w:noProof/>
            <w:webHidden/>
          </w:rPr>
          <w:t>4</w:t>
        </w:r>
        <w:r w:rsidRPr="00D65671">
          <w:rPr>
            <w:rFonts w:ascii="Arial" w:hAnsi="Arial" w:cs="Arial"/>
            <w:caps w:val="0"/>
            <w:noProof/>
            <w:webHidden/>
          </w:rPr>
          <w:fldChar w:fldCharType="end"/>
        </w:r>
      </w:hyperlink>
    </w:p>
    <w:p w14:paraId="1D908058" w14:textId="4524A480"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54" w:history="1">
        <w:r w:rsidRPr="00D65671">
          <w:rPr>
            <w:rStyle w:val="Hyperlink"/>
            <w:rFonts w:ascii="Arial" w:hAnsi="Arial" w:cs="Arial"/>
            <w:noProof/>
          </w:rPr>
          <w:t>4.1</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Appropriate use of DNACPR decisions</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_Toc184825954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4</w:t>
        </w:r>
        <w:r w:rsidRPr="00D65671">
          <w:rPr>
            <w:rFonts w:ascii="Arial" w:hAnsi="Arial" w:cs="Arial"/>
            <w:noProof/>
            <w:webHidden/>
          </w:rPr>
          <w:fldChar w:fldCharType="end"/>
        </w:r>
      </w:hyperlink>
    </w:p>
    <w:p w14:paraId="4B9875A7" w14:textId="683BB8FE" w:rsidR="0009304D" w:rsidRPr="00D65671" w:rsidRDefault="0009304D">
      <w:pPr>
        <w:pStyle w:val="TOC1"/>
        <w:rPr>
          <w:rFonts w:ascii="Arial" w:eastAsiaTheme="minorEastAsia" w:hAnsi="Arial" w:cs="Arial"/>
          <w:b w:val="0"/>
          <w:bCs w:val="0"/>
          <w:caps w:val="0"/>
          <w:noProof/>
          <w:kern w:val="2"/>
          <w:lang w:eastAsia="en-GB"/>
          <w14:ligatures w14:val="standardContextual"/>
        </w:rPr>
      </w:pPr>
      <w:hyperlink w:anchor="_Toc184825955" w:history="1">
        <w:r w:rsidRPr="00D65671">
          <w:rPr>
            <w:rStyle w:val="Hyperlink"/>
            <w:rFonts w:ascii="Arial" w:hAnsi="Arial" w:cs="Arial"/>
            <w:caps w:val="0"/>
            <w:noProof/>
          </w:rPr>
          <w:t>5</w:t>
        </w:r>
        <w:r w:rsidRPr="00D65671">
          <w:rPr>
            <w:rFonts w:ascii="Arial" w:eastAsiaTheme="minorEastAsia" w:hAnsi="Arial" w:cs="Arial"/>
            <w:b w:val="0"/>
            <w:bCs w:val="0"/>
            <w:caps w:val="0"/>
            <w:noProof/>
            <w:kern w:val="2"/>
            <w:lang w:eastAsia="en-GB"/>
            <w14:ligatures w14:val="standardContextual"/>
          </w:rPr>
          <w:tab/>
        </w:r>
        <w:r w:rsidRPr="00D65671">
          <w:rPr>
            <w:rStyle w:val="Hyperlink"/>
            <w:rFonts w:ascii="Arial" w:hAnsi="Arial" w:cs="Arial"/>
            <w:caps w:val="0"/>
            <w:noProof/>
          </w:rPr>
          <w:t>Documentation and record keeping</w:t>
        </w:r>
        <w:r w:rsidRPr="00D65671">
          <w:rPr>
            <w:rFonts w:ascii="Arial" w:hAnsi="Arial" w:cs="Arial"/>
            <w:caps w:val="0"/>
            <w:noProof/>
            <w:webHidden/>
          </w:rPr>
          <w:tab/>
        </w:r>
        <w:r w:rsidRPr="00D65671">
          <w:rPr>
            <w:rFonts w:ascii="Arial" w:hAnsi="Arial" w:cs="Arial"/>
            <w:caps w:val="0"/>
            <w:noProof/>
            <w:webHidden/>
          </w:rPr>
          <w:fldChar w:fldCharType="begin"/>
        </w:r>
        <w:r w:rsidRPr="00D65671">
          <w:rPr>
            <w:rFonts w:ascii="Arial" w:hAnsi="Arial" w:cs="Arial"/>
            <w:caps w:val="0"/>
            <w:noProof/>
            <w:webHidden/>
          </w:rPr>
          <w:instrText xml:space="preserve"> PAGEREF _Toc184825955 \h </w:instrText>
        </w:r>
        <w:r w:rsidRPr="00D65671">
          <w:rPr>
            <w:rFonts w:ascii="Arial" w:hAnsi="Arial" w:cs="Arial"/>
            <w:caps w:val="0"/>
            <w:noProof/>
            <w:webHidden/>
          </w:rPr>
        </w:r>
        <w:r w:rsidRPr="00D65671">
          <w:rPr>
            <w:rFonts w:ascii="Arial" w:hAnsi="Arial" w:cs="Arial"/>
            <w:caps w:val="0"/>
            <w:noProof/>
            <w:webHidden/>
          </w:rPr>
          <w:fldChar w:fldCharType="separate"/>
        </w:r>
        <w:r w:rsidR="00D65671" w:rsidRPr="00D65671">
          <w:rPr>
            <w:rFonts w:ascii="Arial" w:hAnsi="Arial" w:cs="Arial"/>
            <w:caps w:val="0"/>
            <w:noProof/>
            <w:webHidden/>
          </w:rPr>
          <w:t>4</w:t>
        </w:r>
        <w:r w:rsidRPr="00D65671">
          <w:rPr>
            <w:rFonts w:ascii="Arial" w:hAnsi="Arial" w:cs="Arial"/>
            <w:caps w:val="0"/>
            <w:noProof/>
            <w:webHidden/>
          </w:rPr>
          <w:fldChar w:fldCharType="end"/>
        </w:r>
      </w:hyperlink>
    </w:p>
    <w:p w14:paraId="32E65EA9" w14:textId="45155585"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56" w:history="1">
        <w:r w:rsidRPr="00D65671">
          <w:rPr>
            <w:rStyle w:val="Hyperlink"/>
            <w:rFonts w:ascii="Arial" w:hAnsi="Arial" w:cs="Arial"/>
            <w:noProof/>
          </w:rPr>
          <w:t>5.1</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ADRT</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_Toc184825956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4</w:t>
        </w:r>
        <w:r w:rsidRPr="00D65671">
          <w:rPr>
            <w:rFonts w:ascii="Arial" w:hAnsi="Arial" w:cs="Arial"/>
            <w:noProof/>
            <w:webHidden/>
          </w:rPr>
          <w:fldChar w:fldCharType="end"/>
        </w:r>
      </w:hyperlink>
    </w:p>
    <w:p w14:paraId="4ACA4ED0" w14:textId="3D5FC75E"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57" w:history="1">
        <w:r w:rsidRPr="00D65671">
          <w:rPr>
            <w:rStyle w:val="Hyperlink"/>
            <w:rFonts w:ascii="Arial" w:hAnsi="Arial" w:cs="Arial"/>
            <w:noProof/>
          </w:rPr>
          <w:t>5.2</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Record keeping and communication</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_Toc184825957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5</w:t>
        </w:r>
        <w:r w:rsidRPr="00D65671">
          <w:rPr>
            <w:rFonts w:ascii="Arial" w:hAnsi="Arial" w:cs="Arial"/>
            <w:noProof/>
            <w:webHidden/>
          </w:rPr>
          <w:fldChar w:fldCharType="end"/>
        </w:r>
      </w:hyperlink>
    </w:p>
    <w:p w14:paraId="4E3E5E19" w14:textId="4FAB4F14"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58" w:history="1">
        <w:r w:rsidRPr="00D65671">
          <w:rPr>
            <w:rStyle w:val="Hyperlink"/>
            <w:rFonts w:ascii="Arial" w:hAnsi="Arial" w:cs="Arial"/>
            <w:noProof/>
          </w:rPr>
          <w:t>5.3</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DNACPR across other services</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_Toc184825958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5</w:t>
        </w:r>
        <w:r w:rsidRPr="00D65671">
          <w:rPr>
            <w:rFonts w:ascii="Arial" w:hAnsi="Arial" w:cs="Arial"/>
            <w:noProof/>
            <w:webHidden/>
          </w:rPr>
          <w:fldChar w:fldCharType="end"/>
        </w:r>
      </w:hyperlink>
    </w:p>
    <w:p w14:paraId="49ACCB6F" w14:textId="40C5E606" w:rsidR="0009304D" w:rsidRPr="00D65671" w:rsidRDefault="0009304D">
      <w:pPr>
        <w:pStyle w:val="TOC1"/>
        <w:rPr>
          <w:rFonts w:ascii="Arial" w:eastAsiaTheme="minorEastAsia" w:hAnsi="Arial" w:cs="Arial"/>
          <w:b w:val="0"/>
          <w:bCs w:val="0"/>
          <w:caps w:val="0"/>
          <w:noProof/>
          <w:kern w:val="2"/>
          <w:lang w:eastAsia="en-GB"/>
          <w14:ligatures w14:val="standardContextual"/>
        </w:rPr>
      </w:pPr>
      <w:hyperlink w:anchor="_Toc184825959" w:history="1">
        <w:r w:rsidRPr="00D65671">
          <w:rPr>
            <w:rStyle w:val="Hyperlink"/>
            <w:rFonts w:ascii="Arial" w:hAnsi="Arial" w:cs="Arial"/>
            <w:caps w:val="0"/>
            <w:noProof/>
          </w:rPr>
          <w:t>6</w:t>
        </w:r>
        <w:r w:rsidRPr="00D65671">
          <w:rPr>
            <w:rFonts w:ascii="Arial" w:eastAsiaTheme="minorEastAsia" w:hAnsi="Arial" w:cs="Arial"/>
            <w:b w:val="0"/>
            <w:bCs w:val="0"/>
            <w:caps w:val="0"/>
            <w:noProof/>
            <w:kern w:val="2"/>
            <w:lang w:eastAsia="en-GB"/>
            <w14:ligatures w14:val="standardContextual"/>
          </w:rPr>
          <w:tab/>
        </w:r>
        <w:r w:rsidRPr="00D65671">
          <w:rPr>
            <w:rStyle w:val="Hyperlink"/>
            <w:rFonts w:ascii="Arial" w:hAnsi="Arial" w:cs="Arial"/>
            <w:caps w:val="0"/>
            <w:noProof/>
          </w:rPr>
          <w:t>Training</w:t>
        </w:r>
        <w:r w:rsidRPr="00D65671">
          <w:rPr>
            <w:rFonts w:ascii="Arial" w:hAnsi="Arial" w:cs="Arial"/>
            <w:caps w:val="0"/>
            <w:noProof/>
            <w:webHidden/>
          </w:rPr>
          <w:tab/>
        </w:r>
        <w:r w:rsidRPr="00D65671">
          <w:rPr>
            <w:rFonts w:ascii="Arial" w:hAnsi="Arial" w:cs="Arial"/>
            <w:caps w:val="0"/>
            <w:noProof/>
            <w:webHidden/>
          </w:rPr>
          <w:fldChar w:fldCharType="begin"/>
        </w:r>
        <w:r w:rsidRPr="00D65671">
          <w:rPr>
            <w:rFonts w:ascii="Arial" w:hAnsi="Arial" w:cs="Arial"/>
            <w:caps w:val="0"/>
            <w:noProof/>
            <w:webHidden/>
          </w:rPr>
          <w:instrText xml:space="preserve"> PAGEREF _Toc184825959 \h </w:instrText>
        </w:r>
        <w:r w:rsidRPr="00D65671">
          <w:rPr>
            <w:rFonts w:ascii="Arial" w:hAnsi="Arial" w:cs="Arial"/>
            <w:caps w:val="0"/>
            <w:noProof/>
            <w:webHidden/>
          </w:rPr>
        </w:r>
        <w:r w:rsidRPr="00D65671">
          <w:rPr>
            <w:rFonts w:ascii="Arial" w:hAnsi="Arial" w:cs="Arial"/>
            <w:caps w:val="0"/>
            <w:noProof/>
            <w:webHidden/>
          </w:rPr>
          <w:fldChar w:fldCharType="separate"/>
        </w:r>
        <w:r w:rsidR="00D65671" w:rsidRPr="00D65671">
          <w:rPr>
            <w:rFonts w:ascii="Arial" w:hAnsi="Arial" w:cs="Arial"/>
            <w:caps w:val="0"/>
            <w:noProof/>
            <w:webHidden/>
          </w:rPr>
          <w:t>5</w:t>
        </w:r>
        <w:r w:rsidRPr="00D65671">
          <w:rPr>
            <w:rFonts w:ascii="Arial" w:hAnsi="Arial" w:cs="Arial"/>
            <w:caps w:val="0"/>
            <w:noProof/>
            <w:webHidden/>
          </w:rPr>
          <w:fldChar w:fldCharType="end"/>
        </w:r>
      </w:hyperlink>
    </w:p>
    <w:p w14:paraId="05053FD0" w14:textId="0C178C55" w:rsidR="0009304D" w:rsidRPr="00D65671" w:rsidRDefault="0009304D">
      <w:pPr>
        <w:pStyle w:val="TOC2"/>
        <w:rPr>
          <w:rFonts w:ascii="Arial" w:eastAsiaTheme="minorEastAsia" w:hAnsi="Arial" w:cs="Arial"/>
          <w:b w:val="0"/>
          <w:bCs w:val="0"/>
          <w:noProof/>
          <w:kern w:val="2"/>
          <w:sz w:val="24"/>
          <w:szCs w:val="24"/>
          <w:lang w:eastAsia="en-GB"/>
          <w14:ligatures w14:val="standardContextual"/>
        </w:rPr>
      </w:pPr>
      <w:hyperlink w:anchor="_Toc184825960" w:history="1">
        <w:r w:rsidRPr="00D65671">
          <w:rPr>
            <w:rStyle w:val="Hyperlink"/>
            <w:rFonts w:ascii="Arial" w:hAnsi="Arial" w:cs="Arial"/>
            <w:noProof/>
          </w:rPr>
          <w:t>6.1</w:t>
        </w:r>
        <w:r w:rsidRPr="00D65671">
          <w:rPr>
            <w:rFonts w:ascii="Arial" w:eastAsiaTheme="minorEastAsia" w:hAnsi="Arial" w:cs="Arial"/>
            <w:b w:val="0"/>
            <w:bCs w:val="0"/>
            <w:noProof/>
            <w:kern w:val="2"/>
            <w:sz w:val="24"/>
            <w:szCs w:val="24"/>
            <w:lang w:eastAsia="en-GB"/>
            <w14:ligatures w14:val="standardContextual"/>
          </w:rPr>
          <w:tab/>
        </w:r>
        <w:r w:rsidRPr="00D65671">
          <w:rPr>
            <w:rStyle w:val="Hyperlink"/>
            <w:rFonts w:ascii="Arial" w:hAnsi="Arial" w:cs="Arial"/>
            <w:noProof/>
          </w:rPr>
          <w:t>Staff training</w:t>
        </w:r>
        <w:r w:rsidRPr="00D65671">
          <w:rPr>
            <w:rFonts w:ascii="Arial" w:hAnsi="Arial" w:cs="Arial"/>
            <w:noProof/>
            <w:webHidden/>
          </w:rPr>
          <w:tab/>
        </w:r>
        <w:r w:rsidRPr="00D65671">
          <w:rPr>
            <w:rFonts w:ascii="Arial" w:hAnsi="Arial" w:cs="Arial"/>
            <w:noProof/>
            <w:webHidden/>
          </w:rPr>
          <w:fldChar w:fldCharType="begin"/>
        </w:r>
        <w:r w:rsidRPr="00D65671">
          <w:rPr>
            <w:rFonts w:ascii="Arial" w:hAnsi="Arial" w:cs="Arial"/>
            <w:noProof/>
            <w:webHidden/>
          </w:rPr>
          <w:instrText xml:space="preserve"> PAGEREF _Toc184825960 \h </w:instrText>
        </w:r>
        <w:r w:rsidRPr="00D65671">
          <w:rPr>
            <w:rFonts w:ascii="Arial" w:hAnsi="Arial" w:cs="Arial"/>
            <w:noProof/>
            <w:webHidden/>
          </w:rPr>
        </w:r>
        <w:r w:rsidRPr="00D65671">
          <w:rPr>
            <w:rFonts w:ascii="Arial" w:hAnsi="Arial" w:cs="Arial"/>
            <w:noProof/>
            <w:webHidden/>
          </w:rPr>
          <w:fldChar w:fldCharType="separate"/>
        </w:r>
        <w:r w:rsidR="00D65671" w:rsidRPr="00D65671">
          <w:rPr>
            <w:rFonts w:ascii="Arial" w:hAnsi="Arial" w:cs="Arial"/>
            <w:noProof/>
            <w:webHidden/>
          </w:rPr>
          <w:t>5</w:t>
        </w:r>
        <w:r w:rsidRPr="00D65671">
          <w:rPr>
            <w:rFonts w:ascii="Arial" w:hAnsi="Arial" w:cs="Arial"/>
            <w:noProof/>
            <w:webHidden/>
          </w:rPr>
          <w:fldChar w:fldCharType="end"/>
        </w:r>
      </w:hyperlink>
    </w:p>
    <w:p w14:paraId="356DC3EA" w14:textId="11498B47" w:rsidR="0009304D" w:rsidRPr="00D65671" w:rsidRDefault="0009304D">
      <w:pPr>
        <w:pStyle w:val="TOC1"/>
        <w:rPr>
          <w:rFonts w:ascii="Arial" w:eastAsiaTheme="minorEastAsia" w:hAnsi="Arial" w:cs="Arial"/>
          <w:b w:val="0"/>
          <w:bCs w:val="0"/>
          <w:caps w:val="0"/>
          <w:noProof/>
          <w:kern w:val="2"/>
          <w:lang w:eastAsia="en-GB"/>
          <w14:ligatures w14:val="standardContextual"/>
        </w:rPr>
      </w:pPr>
      <w:hyperlink w:anchor="_Toc184825961" w:history="1">
        <w:r w:rsidRPr="00D65671">
          <w:rPr>
            <w:rStyle w:val="Hyperlink"/>
            <w:rFonts w:ascii="Arial" w:hAnsi="Arial" w:cs="Arial"/>
            <w:caps w:val="0"/>
            <w:noProof/>
          </w:rPr>
          <w:t>Annex A – Additional guidance</w:t>
        </w:r>
        <w:r w:rsidRPr="00D65671">
          <w:rPr>
            <w:rFonts w:ascii="Arial" w:hAnsi="Arial" w:cs="Arial"/>
            <w:caps w:val="0"/>
            <w:noProof/>
            <w:webHidden/>
          </w:rPr>
          <w:tab/>
        </w:r>
        <w:r w:rsidRPr="00D65671">
          <w:rPr>
            <w:rFonts w:ascii="Arial" w:hAnsi="Arial" w:cs="Arial"/>
            <w:caps w:val="0"/>
            <w:noProof/>
            <w:webHidden/>
          </w:rPr>
          <w:fldChar w:fldCharType="begin"/>
        </w:r>
        <w:r w:rsidRPr="00D65671">
          <w:rPr>
            <w:rFonts w:ascii="Arial" w:hAnsi="Arial" w:cs="Arial"/>
            <w:caps w:val="0"/>
            <w:noProof/>
            <w:webHidden/>
          </w:rPr>
          <w:instrText xml:space="preserve"> PAGEREF _Toc184825961 \h </w:instrText>
        </w:r>
        <w:r w:rsidRPr="00D65671">
          <w:rPr>
            <w:rFonts w:ascii="Arial" w:hAnsi="Arial" w:cs="Arial"/>
            <w:caps w:val="0"/>
            <w:noProof/>
            <w:webHidden/>
          </w:rPr>
        </w:r>
        <w:r w:rsidRPr="00D65671">
          <w:rPr>
            <w:rFonts w:ascii="Arial" w:hAnsi="Arial" w:cs="Arial"/>
            <w:caps w:val="0"/>
            <w:noProof/>
            <w:webHidden/>
          </w:rPr>
          <w:fldChar w:fldCharType="separate"/>
        </w:r>
        <w:r w:rsidR="00D65671" w:rsidRPr="00D65671">
          <w:rPr>
            <w:rFonts w:ascii="Arial" w:hAnsi="Arial" w:cs="Arial"/>
            <w:caps w:val="0"/>
            <w:noProof/>
            <w:webHidden/>
          </w:rPr>
          <w:t>6</w:t>
        </w:r>
        <w:r w:rsidRPr="00D65671">
          <w:rPr>
            <w:rFonts w:ascii="Arial" w:hAnsi="Arial" w:cs="Arial"/>
            <w:caps w:val="0"/>
            <w:noProof/>
            <w:webHidden/>
          </w:rPr>
          <w:fldChar w:fldCharType="end"/>
        </w:r>
      </w:hyperlink>
    </w:p>
    <w:p w14:paraId="4F01A812" w14:textId="7B40B919" w:rsidR="0009304D" w:rsidRPr="00D65671" w:rsidRDefault="0009304D">
      <w:pPr>
        <w:pStyle w:val="TOC1"/>
        <w:rPr>
          <w:rFonts w:ascii="Arial" w:eastAsiaTheme="minorEastAsia" w:hAnsi="Arial" w:cs="Arial"/>
          <w:b w:val="0"/>
          <w:bCs w:val="0"/>
          <w:caps w:val="0"/>
          <w:noProof/>
          <w:kern w:val="2"/>
          <w:lang w:eastAsia="en-GB"/>
          <w14:ligatures w14:val="standardContextual"/>
        </w:rPr>
      </w:pPr>
      <w:hyperlink w:anchor="_Toc184825962" w:history="1">
        <w:r w:rsidRPr="00D65671">
          <w:rPr>
            <w:rStyle w:val="Hyperlink"/>
            <w:rFonts w:ascii="Arial" w:hAnsi="Arial" w:cs="Arial"/>
            <w:caps w:val="0"/>
            <w:noProof/>
          </w:rPr>
          <w:t>Annex B – RCUK decision-making framework</w:t>
        </w:r>
        <w:r w:rsidRPr="00D65671">
          <w:rPr>
            <w:rFonts w:ascii="Arial" w:hAnsi="Arial" w:cs="Arial"/>
            <w:caps w:val="0"/>
            <w:noProof/>
            <w:webHidden/>
          </w:rPr>
          <w:tab/>
        </w:r>
        <w:r w:rsidRPr="00D65671">
          <w:rPr>
            <w:rFonts w:ascii="Arial" w:hAnsi="Arial" w:cs="Arial"/>
            <w:caps w:val="0"/>
            <w:noProof/>
            <w:webHidden/>
          </w:rPr>
          <w:fldChar w:fldCharType="begin"/>
        </w:r>
        <w:r w:rsidRPr="00D65671">
          <w:rPr>
            <w:rFonts w:ascii="Arial" w:hAnsi="Arial" w:cs="Arial"/>
            <w:caps w:val="0"/>
            <w:noProof/>
            <w:webHidden/>
          </w:rPr>
          <w:instrText xml:space="preserve"> PAGEREF _Toc184825962 \h </w:instrText>
        </w:r>
        <w:r w:rsidRPr="00D65671">
          <w:rPr>
            <w:rFonts w:ascii="Arial" w:hAnsi="Arial" w:cs="Arial"/>
            <w:caps w:val="0"/>
            <w:noProof/>
            <w:webHidden/>
          </w:rPr>
        </w:r>
        <w:r w:rsidRPr="00D65671">
          <w:rPr>
            <w:rFonts w:ascii="Arial" w:hAnsi="Arial" w:cs="Arial"/>
            <w:caps w:val="0"/>
            <w:noProof/>
            <w:webHidden/>
          </w:rPr>
          <w:fldChar w:fldCharType="separate"/>
        </w:r>
        <w:r w:rsidR="00D65671" w:rsidRPr="00D65671">
          <w:rPr>
            <w:rFonts w:ascii="Arial" w:hAnsi="Arial" w:cs="Arial"/>
            <w:caps w:val="0"/>
            <w:noProof/>
            <w:webHidden/>
          </w:rPr>
          <w:t>7</w:t>
        </w:r>
        <w:r w:rsidRPr="00D65671">
          <w:rPr>
            <w:rFonts w:ascii="Arial" w:hAnsi="Arial" w:cs="Arial"/>
            <w:caps w:val="0"/>
            <w:noProof/>
            <w:webHidden/>
          </w:rPr>
          <w:fldChar w:fldCharType="end"/>
        </w:r>
      </w:hyperlink>
    </w:p>
    <w:p w14:paraId="71581950" w14:textId="0D999FFF" w:rsidR="00A43988" w:rsidRDefault="00A43988" w:rsidP="00C0726A">
      <w:pPr>
        <w:ind w:right="231"/>
        <w:rPr>
          <w:rFonts w:ascii="Arial" w:hAnsi="Arial" w:cs="Arial"/>
          <w:sz w:val="20"/>
          <w:szCs w:val="28"/>
        </w:rPr>
        <w:sectPr w:rsidR="00A43988" w:rsidSect="00A43988">
          <w:headerReference w:type="default" r:id="rId8"/>
          <w:footerReference w:type="even" r:id="rId9"/>
          <w:footerReference w:type="default" r:id="rId10"/>
          <w:type w:val="continuous"/>
          <w:pgSz w:w="11900" w:h="16840"/>
          <w:pgMar w:top="1440" w:right="1440" w:bottom="1440" w:left="1440" w:header="720" w:footer="720" w:gutter="0"/>
          <w:cols w:space="720"/>
          <w:docGrid w:linePitch="360"/>
        </w:sectPr>
      </w:pPr>
      <w:r w:rsidRPr="00D65671">
        <w:rPr>
          <w:rFonts w:ascii="Arial" w:hAnsi="Arial" w:cs="Arial"/>
          <w:sz w:val="20"/>
          <w:szCs w:val="28"/>
        </w:rPr>
        <w:fldChar w:fldCharType="end"/>
      </w:r>
    </w:p>
    <w:p w14:paraId="7C1F4396" w14:textId="77777777" w:rsidR="000858D5" w:rsidRPr="008F1C80"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71188368"/>
      <w:bookmarkStart w:id="2" w:name="_Toc184825941"/>
      <w:r w:rsidRPr="008F1C80">
        <w:rPr>
          <w:sz w:val="28"/>
          <w:szCs w:val="28"/>
        </w:rPr>
        <w:lastRenderedPageBreak/>
        <w:t>Introduction</w:t>
      </w:r>
      <w:bookmarkEnd w:id="1"/>
      <w:bookmarkEnd w:id="2"/>
    </w:p>
    <w:p w14:paraId="4C3C3D66" w14:textId="2AA74A09" w:rsidR="00044905" w:rsidRPr="008F1C80" w:rsidRDefault="00D05574" w:rsidP="00044905">
      <w:pPr>
        <w:pStyle w:val="Heading2"/>
        <w:rPr>
          <w:rFonts w:ascii="Arial" w:hAnsi="Arial" w:cs="Arial"/>
          <w:smallCaps w:val="0"/>
          <w:sz w:val="24"/>
          <w:szCs w:val="24"/>
          <w:lang w:val="en-GB"/>
        </w:rPr>
      </w:pPr>
      <w:bookmarkStart w:id="3" w:name="_Toc495852825"/>
      <w:bookmarkStart w:id="4" w:name="_Toc71188369"/>
      <w:bookmarkStart w:id="5" w:name="_Toc184825942"/>
      <w:r w:rsidRPr="008F1C80">
        <w:rPr>
          <w:rFonts w:ascii="Arial" w:hAnsi="Arial" w:cs="Arial"/>
          <w:smallCaps w:val="0"/>
          <w:sz w:val="24"/>
          <w:szCs w:val="24"/>
          <w:lang w:val="en-GB"/>
        </w:rPr>
        <w:t>P</w:t>
      </w:r>
      <w:r w:rsidR="00044905" w:rsidRPr="008F1C80">
        <w:rPr>
          <w:rFonts w:ascii="Arial" w:hAnsi="Arial" w:cs="Arial"/>
          <w:smallCaps w:val="0"/>
          <w:sz w:val="24"/>
          <w:szCs w:val="24"/>
          <w:lang w:val="en-GB"/>
        </w:rPr>
        <w:t>olicy statement</w:t>
      </w:r>
      <w:bookmarkEnd w:id="3"/>
      <w:bookmarkEnd w:id="4"/>
      <w:bookmarkEnd w:id="5"/>
    </w:p>
    <w:p w14:paraId="121F9C13" w14:textId="7435C555" w:rsidR="009E44EC" w:rsidRPr="008F1C80" w:rsidRDefault="009E44EC" w:rsidP="009E44EC"/>
    <w:p w14:paraId="1D66C78B" w14:textId="68C8EDD6" w:rsidR="001648CD" w:rsidRPr="00F155BF" w:rsidRDefault="00B24A2F" w:rsidP="001648CD">
      <w:pPr>
        <w:rPr>
          <w:rFonts w:ascii="Arial" w:hAnsi="Arial" w:cs="Arial"/>
          <w:sz w:val="22"/>
        </w:rPr>
      </w:pPr>
      <w:r w:rsidRPr="008F1C80">
        <w:rPr>
          <w:rFonts w:ascii="Arial" w:hAnsi="Arial" w:cs="Arial"/>
          <w:sz w:val="22"/>
        </w:rPr>
        <w:t>At</w:t>
      </w:r>
      <w:r w:rsidR="00460BA9" w:rsidRPr="008F1C80">
        <w:rPr>
          <w:rFonts w:ascii="Arial" w:hAnsi="Arial" w:cs="Arial"/>
          <w:sz w:val="22"/>
        </w:rPr>
        <w:t xml:space="preserve"> </w:t>
      </w:r>
      <w:bookmarkStart w:id="6" w:name="_Hlk120223064"/>
      <w:r w:rsidR="009E3E21">
        <w:rPr>
          <w:rFonts w:ascii="Arial" w:hAnsi="Arial" w:cs="Arial"/>
          <w:sz w:val="22"/>
        </w:rPr>
        <w:t>Sheerwater Health Centre</w:t>
      </w:r>
      <w:bookmarkEnd w:id="6"/>
      <w:r w:rsidR="002D0ED0" w:rsidRPr="008F1C80">
        <w:rPr>
          <w:rFonts w:ascii="Arial" w:hAnsi="Arial" w:cs="Arial"/>
          <w:sz w:val="22"/>
        </w:rPr>
        <w:t>,</w:t>
      </w:r>
      <w:r w:rsidR="00460BA9" w:rsidRPr="008F1C80">
        <w:rPr>
          <w:rFonts w:ascii="Arial" w:hAnsi="Arial" w:cs="Arial"/>
          <w:sz w:val="22"/>
        </w:rPr>
        <w:t xml:space="preserve"> </w:t>
      </w:r>
      <w:r w:rsidRPr="008F1C80">
        <w:rPr>
          <w:rFonts w:ascii="Arial" w:hAnsi="Arial" w:cs="Arial"/>
          <w:sz w:val="22"/>
        </w:rPr>
        <w:t>the</w:t>
      </w:r>
      <w:r w:rsidR="003C1D2B" w:rsidRPr="008F1C80">
        <w:rPr>
          <w:rFonts w:ascii="Arial" w:hAnsi="Arial" w:cs="Arial"/>
          <w:sz w:val="22"/>
        </w:rPr>
        <w:t xml:space="preserve"> default position is to attempt </w:t>
      </w:r>
      <w:r w:rsidR="002C6921" w:rsidRPr="008F1C80">
        <w:rPr>
          <w:rFonts w:ascii="Arial" w:hAnsi="Arial" w:cs="Arial"/>
          <w:sz w:val="22"/>
        </w:rPr>
        <w:t>cardiopulmonary resuscitation (CPR)</w:t>
      </w:r>
      <w:r w:rsidR="003C1D2B" w:rsidRPr="008F1C80">
        <w:rPr>
          <w:rFonts w:ascii="Arial" w:hAnsi="Arial" w:cs="Arial"/>
          <w:sz w:val="22"/>
        </w:rPr>
        <w:t xml:space="preserve"> in the event of a cardiac arrest unless an advance</w:t>
      </w:r>
      <w:r w:rsidR="00F155BF">
        <w:rPr>
          <w:rFonts w:ascii="Arial" w:hAnsi="Arial" w:cs="Arial"/>
          <w:sz w:val="22"/>
        </w:rPr>
        <w:t>d</w:t>
      </w:r>
      <w:r w:rsidR="003C1D2B" w:rsidRPr="008F1C80">
        <w:rPr>
          <w:rFonts w:ascii="Arial" w:hAnsi="Arial" w:cs="Arial"/>
          <w:sz w:val="22"/>
        </w:rPr>
        <w:t xml:space="preserve"> decision </w:t>
      </w:r>
      <w:r w:rsidR="00F155BF">
        <w:rPr>
          <w:rFonts w:ascii="Arial" w:hAnsi="Arial" w:cs="Arial"/>
          <w:sz w:val="22"/>
        </w:rPr>
        <w:t>of</w:t>
      </w:r>
      <w:r w:rsidR="003C1D2B" w:rsidRPr="008F1C80">
        <w:rPr>
          <w:rFonts w:ascii="Arial" w:hAnsi="Arial" w:cs="Arial"/>
          <w:sz w:val="22"/>
        </w:rPr>
        <w:t xml:space="preserve"> </w:t>
      </w:r>
      <w:r w:rsidR="00F155BF">
        <w:rPr>
          <w:rFonts w:ascii="Arial" w:hAnsi="Arial" w:cs="Arial"/>
          <w:sz w:val="22"/>
        </w:rPr>
        <w:t>D</w:t>
      </w:r>
      <w:r w:rsidR="001648CD" w:rsidRPr="008F1C80">
        <w:rPr>
          <w:rFonts w:ascii="Arial" w:hAnsi="Arial" w:cs="Arial"/>
          <w:sz w:val="22"/>
        </w:rPr>
        <w:t>o</w:t>
      </w:r>
      <w:r w:rsidR="001648CD">
        <w:rPr>
          <w:rFonts w:ascii="Arial" w:hAnsi="Arial" w:cs="Arial"/>
          <w:sz w:val="22"/>
        </w:rPr>
        <w:t xml:space="preserve"> </w:t>
      </w:r>
      <w:r w:rsidR="00F155BF">
        <w:rPr>
          <w:rFonts w:ascii="Arial" w:hAnsi="Arial" w:cs="Arial"/>
          <w:sz w:val="22"/>
        </w:rPr>
        <w:t>N</w:t>
      </w:r>
      <w:r w:rsidR="001648CD" w:rsidRPr="008F1C80">
        <w:rPr>
          <w:rFonts w:ascii="Arial" w:hAnsi="Arial" w:cs="Arial"/>
          <w:sz w:val="22"/>
        </w:rPr>
        <w:t>ot</w:t>
      </w:r>
      <w:r w:rsidR="001648CD">
        <w:rPr>
          <w:rFonts w:ascii="Arial" w:hAnsi="Arial" w:cs="Arial"/>
          <w:sz w:val="22"/>
        </w:rPr>
        <w:t xml:space="preserve"> </w:t>
      </w:r>
      <w:r w:rsidR="00F155BF">
        <w:rPr>
          <w:rFonts w:ascii="Arial" w:hAnsi="Arial" w:cs="Arial"/>
          <w:sz w:val="22"/>
        </w:rPr>
        <w:t>A</w:t>
      </w:r>
      <w:r w:rsidR="001648CD" w:rsidRPr="008F1C80">
        <w:rPr>
          <w:rFonts w:ascii="Arial" w:hAnsi="Arial" w:cs="Arial"/>
          <w:sz w:val="22"/>
        </w:rPr>
        <w:t xml:space="preserve">ttempt </w:t>
      </w:r>
      <w:r w:rsidR="00F155BF">
        <w:rPr>
          <w:rFonts w:ascii="Arial" w:hAnsi="Arial" w:cs="Arial"/>
          <w:sz w:val="22"/>
        </w:rPr>
        <w:t>C</w:t>
      </w:r>
      <w:r w:rsidR="001648CD" w:rsidRPr="008F1C80">
        <w:rPr>
          <w:rFonts w:ascii="Arial" w:hAnsi="Arial" w:cs="Arial"/>
          <w:sz w:val="22"/>
        </w:rPr>
        <w:t xml:space="preserve">ardiopulmonary </w:t>
      </w:r>
      <w:r w:rsidR="00F155BF">
        <w:rPr>
          <w:rFonts w:ascii="Arial" w:hAnsi="Arial" w:cs="Arial"/>
          <w:sz w:val="22"/>
        </w:rPr>
        <w:t>R</w:t>
      </w:r>
      <w:r w:rsidR="001648CD" w:rsidRPr="008F1C80">
        <w:rPr>
          <w:rFonts w:ascii="Arial" w:hAnsi="Arial" w:cs="Arial"/>
          <w:sz w:val="22"/>
        </w:rPr>
        <w:t>esuscitation</w:t>
      </w:r>
      <w:r w:rsidR="00F155BF">
        <w:rPr>
          <w:rFonts w:ascii="Arial" w:hAnsi="Arial" w:cs="Arial"/>
          <w:sz w:val="22"/>
        </w:rPr>
        <w:t xml:space="preserve"> </w:t>
      </w:r>
      <w:r w:rsidR="001648CD">
        <w:rPr>
          <w:rFonts w:ascii="Arial" w:hAnsi="Arial" w:cs="Arial"/>
          <w:sz w:val="22"/>
        </w:rPr>
        <w:t>(</w:t>
      </w:r>
      <w:r w:rsidR="003C1D2B" w:rsidRPr="008F1C80">
        <w:rPr>
          <w:rFonts w:ascii="Arial" w:hAnsi="Arial" w:cs="Arial"/>
          <w:sz w:val="22"/>
        </w:rPr>
        <w:t>DNACPR</w:t>
      </w:r>
      <w:r w:rsidR="001648CD">
        <w:rPr>
          <w:rFonts w:ascii="Arial" w:hAnsi="Arial" w:cs="Arial"/>
          <w:sz w:val="22"/>
        </w:rPr>
        <w:t>)</w:t>
      </w:r>
      <w:r w:rsidR="003C1D2B" w:rsidRPr="008F1C80">
        <w:rPr>
          <w:rFonts w:ascii="Arial" w:hAnsi="Arial" w:cs="Arial"/>
          <w:sz w:val="22"/>
        </w:rPr>
        <w:t xml:space="preserve"> </w:t>
      </w:r>
      <w:r w:rsidR="00F155BF">
        <w:rPr>
          <w:rFonts w:ascii="Arial" w:hAnsi="Arial" w:cs="Arial"/>
          <w:sz w:val="22"/>
        </w:rPr>
        <w:t xml:space="preserve">has been made. </w:t>
      </w:r>
      <w:r w:rsidR="001648CD" w:rsidRPr="008F1C80">
        <w:rPr>
          <w:rFonts w:ascii="Arial" w:hAnsi="Arial" w:cs="Arial"/>
          <w:sz w:val="22"/>
          <w:szCs w:val="22"/>
        </w:rPr>
        <w:t xml:space="preserve">DNACPR </w:t>
      </w:r>
      <w:r w:rsidR="00F155BF">
        <w:rPr>
          <w:rFonts w:ascii="Arial" w:hAnsi="Arial" w:cs="Arial"/>
          <w:sz w:val="22"/>
          <w:szCs w:val="22"/>
        </w:rPr>
        <w:t>refers</w:t>
      </w:r>
      <w:r w:rsidR="001648CD" w:rsidRPr="008F1C80">
        <w:rPr>
          <w:rFonts w:ascii="Arial" w:hAnsi="Arial" w:cs="Arial"/>
          <w:sz w:val="22"/>
          <w:szCs w:val="22"/>
        </w:rPr>
        <w:t xml:space="preserve"> only to CPR </w:t>
      </w:r>
      <w:r w:rsidR="00F155BF">
        <w:rPr>
          <w:rFonts w:ascii="Arial" w:hAnsi="Arial" w:cs="Arial"/>
          <w:sz w:val="22"/>
          <w:szCs w:val="22"/>
        </w:rPr>
        <w:t xml:space="preserve">and patients will still receive any other appropriate care and treatment. </w:t>
      </w:r>
      <w:r w:rsidR="001648CD" w:rsidRPr="008F1C80">
        <w:rPr>
          <w:rFonts w:ascii="Arial" w:hAnsi="Arial" w:cs="Arial"/>
          <w:sz w:val="22"/>
          <w:szCs w:val="22"/>
        </w:rPr>
        <w:t>This policy can be applied to all individuals over the age of 16 years</w:t>
      </w:r>
      <w:r w:rsidR="001648CD">
        <w:rPr>
          <w:rFonts w:ascii="Arial" w:hAnsi="Arial" w:cs="Arial"/>
          <w:sz w:val="22"/>
          <w:szCs w:val="22"/>
        </w:rPr>
        <w:t>.</w:t>
      </w:r>
    </w:p>
    <w:p w14:paraId="610460BF" w14:textId="77777777" w:rsidR="001648CD" w:rsidRDefault="001648CD" w:rsidP="001648CD">
      <w:pPr>
        <w:rPr>
          <w:rFonts w:ascii="Arial" w:hAnsi="Arial" w:cs="Arial"/>
        </w:rPr>
      </w:pPr>
    </w:p>
    <w:p w14:paraId="73B11BF1" w14:textId="5FCF731B" w:rsidR="00D3186C" w:rsidRDefault="00D3186C" w:rsidP="001648CD">
      <w:pPr>
        <w:suppressAutoHyphens/>
        <w:rPr>
          <w:rFonts w:ascii="Arial" w:hAnsi="Arial" w:cs="Arial"/>
          <w:sz w:val="22"/>
        </w:rPr>
      </w:pPr>
      <w:r>
        <w:rPr>
          <w:rFonts w:ascii="Arial" w:hAnsi="Arial" w:cs="Arial"/>
          <w:b/>
          <w:bCs/>
          <w:sz w:val="22"/>
        </w:rPr>
        <w:t xml:space="preserve">Note: </w:t>
      </w:r>
      <w:r>
        <w:rPr>
          <w:rFonts w:ascii="Arial" w:hAnsi="Arial" w:cs="Arial"/>
          <w:sz w:val="22"/>
        </w:rPr>
        <w:t xml:space="preserve">This policy is underpinned by the joint guidance of the British Medical Association (BMA), Resuscitation Council UK (RCUK) and the Royal College of Nursing (RCN) titled </w:t>
      </w:r>
      <w:hyperlink r:id="rId11" w:history="1">
        <w:r w:rsidRPr="00D3186C">
          <w:rPr>
            <w:rStyle w:val="Hyperlink"/>
            <w:rFonts w:ascii="Arial" w:hAnsi="Arial" w:cs="Arial"/>
            <w:sz w:val="22"/>
          </w:rPr>
          <w:t>Decisions relating to cardiopulmonary resuscitation</w:t>
        </w:r>
      </w:hyperlink>
      <w:r>
        <w:rPr>
          <w:rFonts w:ascii="Arial" w:hAnsi="Arial" w:cs="Arial"/>
          <w:sz w:val="22"/>
        </w:rPr>
        <w:t xml:space="preserve">, referred to as the joint guidance herein. </w:t>
      </w:r>
      <w:r w:rsidRPr="00D3186C">
        <w:rPr>
          <w:rFonts w:ascii="Arial" w:hAnsi="Arial" w:cs="Arial"/>
          <w:sz w:val="22"/>
        </w:rPr>
        <w:t xml:space="preserve">Additional supporting guidance for each of the devolved nations is available at </w:t>
      </w:r>
      <w:hyperlink w:anchor="_Annex_A_–_1" w:history="1">
        <w:r w:rsidRPr="00254154">
          <w:rPr>
            <w:rStyle w:val="Hyperlink"/>
            <w:rFonts w:ascii="Arial" w:hAnsi="Arial" w:cs="Arial"/>
            <w:sz w:val="22"/>
          </w:rPr>
          <w:t>Annex A</w:t>
        </w:r>
      </w:hyperlink>
      <w:r w:rsidRPr="00D3186C">
        <w:rPr>
          <w:rFonts w:ascii="Arial" w:hAnsi="Arial" w:cs="Arial"/>
          <w:sz w:val="22"/>
        </w:rPr>
        <w:t xml:space="preserve">. </w:t>
      </w:r>
    </w:p>
    <w:p w14:paraId="030917FC" w14:textId="6287EC46" w:rsidR="00044905" w:rsidRPr="008F1C80" w:rsidRDefault="00965FEA" w:rsidP="00497F2B">
      <w:pPr>
        <w:pStyle w:val="Heading2"/>
        <w:rPr>
          <w:rFonts w:ascii="Arial" w:hAnsi="Arial" w:cs="Arial"/>
          <w:smallCaps w:val="0"/>
          <w:sz w:val="24"/>
          <w:szCs w:val="24"/>
          <w:lang w:val="en-GB"/>
        </w:rPr>
      </w:pPr>
      <w:bookmarkStart w:id="7" w:name="_Toc495852828"/>
      <w:bookmarkStart w:id="8" w:name="_Toc71188373"/>
      <w:bookmarkStart w:id="9" w:name="_Toc184825943"/>
      <w:r w:rsidRPr="008F1C80">
        <w:rPr>
          <w:rFonts w:ascii="Arial" w:hAnsi="Arial" w:cs="Arial"/>
          <w:smallCaps w:val="0"/>
          <w:sz w:val="24"/>
          <w:szCs w:val="24"/>
          <w:lang w:val="en-GB"/>
        </w:rPr>
        <w:t>S</w:t>
      </w:r>
      <w:r w:rsidR="00044905" w:rsidRPr="008F1C80">
        <w:rPr>
          <w:rFonts w:ascii="Arial" w:hAnsi="Arial" w:cs="Arial"/>
          <w:smallCaps w:val="0"/>
          <w:sz w:val="24"/>
          <w:szCs w:val="24"/>
          <w:lang w:val="en-GB"/>
        </w:rPr>
        <w:t>tatus</w:t>
      </w:r>
      <w:bookmarkEnd w:id="7"/>
      <w:bookmarkEnd w:id="8"/>
      <w:bookmarkEnd w:id="9"/>
    </w:p>
    <w:p w14:paraId="138027F4" w14:textId="77777777" w:rsidR="00C32A8B" w:rsidRPr="008F1C80" w:rsidRDefault="00C32A8B" w:rsidP="00C32A8B">
      <w:pPr>
        <w:rPr>
          <w:lang w:eastAsia="en-US"/>
        </w:rPr>
      </w:pPr>
    </w:p>
    <w:p w14:paraId="5BDD35F4" w14:textId="77777777" w:rsidR="001648CD" w:rsidRPr="00A74BB8" w:rsidRDefault="001648CD" w:rsidP="001648CD">
      <w:pPr>
        <w:rPr>
          <w:rFonts w:ascii="Arial" w:hAnsi="Arial" w:cs="Arial"/>
          <w:sz w:val="22"/>
          <w:szCs w:val="22"/>
        </w:rPr>
      </w:pPr>
      <w:bookmarkStart w:id="10" w:name="_Toc53740639"/>
      <w:bookmarkStart w:id="11" w:name="_Toc53742540"/>
      <w:bookmarkStart w:id="12" w:name="_Toc53750157"/>
      <w:bookmarkStart w:id="13" w:name="_Toc53752671"/>
      <w:bookmarkStart w:id="14" w:name="_Toc53752897"/>
      <w:bookmarkStart w:id="15" w:name="_Toc53754414"/>
      <w:bookmarkStart w:id="16" w:name="_Toc53754531"/>
      <w:bookmarkStart w:id="17" w:name="_Toc53754588"/>
      <w:bookmarkStart w:id="18" w:name="_Toc53754646"/>
      <w:bookmarkStart w:id="19" w:name="_Toc53740640"/>
      <w:bookmarkStart w:id="20" w:name="_Toc53742541"/>
      <w:bookmarkStart w:id="21" w:name="_Toc53750158"/>
      <w:bookmarkStart w:id="22" w:name="_Toc53752672"/>
      <w:bookmarkStart w:id="23" w:name="_Toc53752898"/>
      <w:bookmarkStart w:id="24" w:name="_Toc53754415"/>
      <w:bookmarkStart w:id="25" w:name="_Toc53754532"/>
      <w:bookmarkStart w:id="26" w:name="_Toc53754589"/>
      <w:bookmarkStart w:id="27" w:name="_Toc53754647"/>
      <w:bookmarkStart w:id="28" w:name="_Toc53740641"/>
      <w:bookmarkStart w:id="29" w:name="_Toc53742542"/>
      <w:bookmarkStart w:id="30" w:name="_Toc53750159"/>
      <w:bookmarkStart w:id="31" w:name="_Toc53752673"/>
      <w:bookmarkStart w:id="32" w:name="_Toc53752899"/>
      <w:bookmarkStart w:id="33" w:name="_Toc53754416"/>
      <w:bookmarkStart w:id="34" w:name="_Toc53754533"/>
      <w:bookmarkStart w:id="35" w:name="_Toc53754590"/>
      <w:bookmarkStart w:id="36" w:name="_Toc5375464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A74BB8">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2" w:history="1">
        <w:r w:rsidRPr="008A370F">
          <w:rPr>
            <w:rStyle w:val="Hyperlink"/>
            <w:rFonts w:ascii="Arial" w:eastAsiaTheme="majorEastAsia" w:hAnsi="Arial" w:cs="Arial"/>
            <w:sz w:val="22"/>
            <w:szCs w:val="22"/>
          </w:rPr>
          <w:t>Equality Act 2010</w:t>
        </w:r>
      </w:hyperlink>
      <w:r w:rsidRPr="008A370F">
        <w:rPr>
          <w:rFonts w:ascii="Arial" w:hAnsi="Arial" w:cs="Arial"/>
          <w:sz w:val="22"/>
          <w:szCs w:val="22"/>
        </w:rPr>
        <w:t>.</w:t>
      </w:r>
      <w:r w:rsidRPr="00A74BB8">
        <w:rPr>
          <w:rFonts w:ascii="Arial" w:hAnsi="Arial" w:cs="Arial"/>
          <w:sz w:val="22"/>
          <w:szCs w:val="22"/>
        </w:rPr>
        <w:t xml:space="preserve"> Consideration has been given to the impact this policy might have regarding the individual protected characteristics of those to whom it applies.</w:t>
      </w:r>
    </w:p>
    <w:p w14:paraId="506BB79E" w14:textId="77777777" w:rsidR="001648CD" w:rsidRPr="00A74BB8" w:rsidRDefault="001648CD" w:rsidP="001648CD">
      <w:pPr>
        <w:rPr>
          <w:rFonts w:ascii="Arial" w:hAnsi="Arial" w:cs="Arial"/>
          <w:sz w:val="22"/>
          <w:szCs w:val="22"/>
        </w:rPr>
      </w:pPr>
    </w:p>
    <w:p w14:paraId="4F700A67" w14:textId="77777777" w:rsidR="001648CD" w:rsidRPr="00A74BB8" w:rsidRDefault="001648CD" w:rsidP="001648CD">
      <w:pPr>
        <w:rPr>
          <w:rFonts w:ascii="Arial" w:hAnsi="Arial" w:cs="Arial"/>
          <w:sz w:val="22"/>
          <w:szCs w:val="22"/>
        </w:rPr>
      </w:pPr>
      <w:r w:rsidRPr="00A74BB8">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 </w:t>
      </w:r>
    </w:p>
    <w:p w14:paraId="2F62EC26" w14:textId="633A908A" w:rsidR="0074688A" w:rsidRPr="007004F2" w:rsidRDefault="0074688A" w:rsidP="007004F2">
      <w:pPr>
        <w:pStyle w:val="Heading1"/>
        <w:keepLines/>
        <w:pBdr>
          <w:bottom w:val="single" w:sz="4" w:space="1" w:color="595959" w:themeColor="text1" w:themeTint="A6"/>
        </w:pBdr>
        <w:spacing w:before="360" w:after="160" w:line="259" w:lineRule="auto"/>
        <w:rPr>
          <w:sz w:val="28"/>
          <w:szCs w:val="28"/>
        </w:rPr>
      </w:pPr>
      <w:bookmarkStart w:id="37" w:name="_Toc184825944"/>
      <w:bookmarkStart w:id="38" w:name="_Toc71188379"/>
      <w:r>
        <w:rPr>
          <w:sz w:val="28"/>
          <w:szCs w:val="28"/>
        </w:rPr>
        <w:t>S</w:t>
      </w:r>
      <w:r w:rsidR="00684D46">
        <w:rPr>
          <w:sz w:val="28"/>
          <w:szCs w:val="28"/>
        </w:rPr>
        <w:t>upport</w:t>
      </w:r>
      <w:r>
        <w:rPr>
          <w:sz w:val="28"/>
          <w:szCs w:val="28"/>
        </w:rPr>
        <w:t>ing</w:t>
      </w:r>
      <w:r w:rsidR="00684D46">
        <w:rPr>
          <w:sz w:val="28"/>
          <w:szCs w:val="28"/>
        </w:rPr>
        <w:t xml:space="preserve"> DNACPR</w:t>
      </w:r>
      <w:bookmarkEnd w:id="37"/>
      <w:r w:rsidR="00684D46">
        <w:rPr>
          <w:sz w:val="28"/>
          <w:szCs w:val="28"/>
        </w:rPr>
        <w:t xml:space="preserve"> </w:t>
      </w:r>
      <w:bookmarkStart w:id="39" w:name="_What_is_an"/>
      <w:bookmarkStart w:id="40" w:name="_Toc71188380"/>
      <w:bookmarkEnd w:id="38"/>
      <w:bookmarkEnd w:id="39"/>
    </w:p>
    <w:p w14:paraId="4EFAD90A" w14:textId="2618D370" w:rsidR="0074688A" w:rsidRDefault="00BA7602" w:rsidP="0074688A">
      <w:pPr>
        <w:pStyle w:val="Heading2"/>
        <w:rPr>
          <w:rFonts w:ascii="Arial" w:hAnsi="Arial" w:cs="Arial"/>
          <w:smallCaps w:val="0"/>
          <w:sz w:val="24"/>
          <w:szCs w:val="24"/>
          <w:lang w:val="en-GB"/>
        </w:rPr>
      </w:pPr>
      <w:bookmarkStart w:id="41" w:name="_Toc184825945"/>
      <w:r>
        <w:rPr>
          <w:rFonts w:ascii="Arial" w:hAnsi="Arial" w:cs="Arial"/>
          <w:smallCaps w:val="0"/>
          <w:sz w:val="24"/>
          <w:szCs w:val="24"/>
          <w:lang w:val="en-GB"/>
        </w:rPr>
        <w:t>Advanced care planning</w:t>
      </w:r>
      <w:bookmarkEnd w:id="41"/>
    </w:p>
    <w:p w14:paraId="0865334F" w14:textId="77777777" w:rsidR="0074688A" w:rsidRDefault="0074688A" w:rsidP="0074688A">
      <w:pPr>
        <w:shd w:val="clear" w:color="auto" w:fill="FFFFFF"/>
        <w:rPr>
          <w:rFonts w:ascii="Arial" w:hAnsi="Arial" w:cs="Arial"/>
          <w:sz w:val="22"/>
          <w:szCs w:val="22"/>
        </w:rPr>
      </w:pPr>
    </w:p>
    <w:p w14:paraId="72989CE3" w14:textId="6DE12942" w:rsidR="0074688A" w:rsidRPr="002E4985" w:rsidRDefault="00F96275" w:rsidP="0074688A">
      <w:pPr>
        <w:shd w:val="clear" w:color="auto" w:fill="FFFFFF"/>
        <w:rPr>
          <w:rFonts w:ascii="Arial" w:hAnsi="Arial" w:cs="Arial"/>
          <w:sz w:val="22"/>
          <w:szCs w:val="22"/>
        </w:rPr>
      </w:pPr>
      <w:r w:rsidRPr="00CC4E96">
        <w:rPr>
          <w:rFonts w:ascii="Arial" w:hAnsi="Arial" w:cs="Arial"/>
          <w:sz w:val="22"/>
          <w:szCs w:val="22"/>
        </w:rPr>
        <w:t xml:space="preserve">The </w:t>
      </w:r>
      <w:r w:rsidR="00D3186C" w:rsidRPr="00D3186C">
        <w:rPr>
          <w:rFonts w:ascii="Arial" w:hAnsi="Arial" w:cs="Arial"/>
          <w:color w:val="000000" w:themeColor="text1"/>
          <w:sz w:val="22"/>
          <w:szCs w:val="22"/>
        </w:rPr>
        <w:t>joint</w:t>
      </w:r>
      <w:r w:rsidR="00D3186C" w:rsidRPr="00D3186C">
        <w:rPr>
          <w:rStyle w:val="Hyperlink"/>
          <w:rFonts w:ascii="Arial" w:hAnsi="Arial" w:cs="Arial"/>
          <w:color w:val="000000" w:themeColor="text1"/>
          <w:sz w:val="22"/>
          <w:szCs w:val="22"/>
          <w:u w:val="none"/>
        </w:rPr>
        <w:t xml:space="preserve"> guidance</w:t>
      </w:r>
      <w:r w:rsidR="00CC4E96" w:rsidRPr="00D3186C">
        <w:rPr>
          <w:rFonts w:ascii="Arial" w:hAnsi="Arial" w:cs="Arial"/>
          <w:color w:val="000000" w:themeColor="text1"/>
          <w:sz w:val="22"/>
          <w:szCs w:val="22"/>
        </w:rPr>
        <w:t xml:space="preserve"> </w:t>
      </w:r>
      <w:r w:rsidR="00CC4E96" w:rsidRPr="00CC4E96">
        <w:rPr>
          <w:rFonts w:ascii="Arial" w:hAnsi="Arial" w:cs="Arial"/>
          <w:sz w:val="22"/>
          <w:szCs w:val="22"/>
        </w:rPr>
        <w:t>explain</w:t>
      </w:r>
      <w:r w:rsidR="00D3186C">
        <w:rPr>
          <w:rFonts w:ascii="Arial" w:hAnsi="Arial" w:cs="Arial"/>
          <w:sz w:val="22"/>
          <w:szCs w:val="22"/>
        </w:rPr>
        <w:t>s</w:t>
      </w:r>
      <w:r w:rsidR="00CC4E96" w:rsidRPr="00CC4E96">
        <w:rPr>
          <w:rFonts w:ascii="Arial" w:hAnsi="Arial" w:cs="Arial"/>
          <w:sz w:val="22"/>
          <w:szCs w:val="22"/>
        </w:rPr>
        <w:t xml:space="preserve"> that healthcare professionals have an important role in helping people to participate in making appropriate plans for their future care in a sensitive but realistic manner.</w:t>
      </w:r>
      <w:r w:rsidR="00CC4E96">
        <w:rPr>
          <w:rFonts w:ascii="Arial" w:hAnsi="Arial" w:cs="Arial"/>
          <w:sz w:val="22"/>
          <w:szCs w:val="22"/>
        </w:rPr>
        <w:t xml:space="preserve"> Advance care planning allows each individual to choose in advance what interventions, including CPR</w:t>
      </w:r>
      <w:r w:rsidR="00D65671">
        <w:rPr>
          <w:rFonts w:ascii="Arial" w:hAnsi="Arial" w:cs="Arial"/>
          <w:sz w:val="22"/>
          <w:szCs w:val="22"/>
        </w:rPr>
        <w:t>,</w:t>
      </w:r>
      <w:r w:rsidR="00CC4E96">
        <w:rPr>
          <w:rFonts w:ascii="Arial" w:hAnsi="Arial" w:cs="Arial"/>
          <w:sz w:val="22"/>
          <w:szCs w:val="22"/>
        </w:rPr>
        <w:t xml:space="preserve"> they wish to receive. Making an advanced decision ensures there is time for all the appropriate people to be involved in any decision, whil</w:t>
      </w:r>
      <w:r w:rsidR="00D65671">
        <w:rPr>
          <w:rFonts w:ascii="Arial" w:hAnsi="Arial" w:cs="Arial"/>
          <w:sz w:val="22"/>
          <w:szCs w:val="22"/>
        </w:rPr>
        <w:t>e</w:t>
      </w:r>
      <w:r w:rsidR="00CC4E96">
        <w:rPr>
          <w:rFonts w:ascii="Arial" w:hAnsi="Arial" w:cs="Arial"/>
          <w:sz w:val="22"/>
          <w:szCs w:val="22"/>
        </w:rPr>
        <w:t xml:space="preserve"> making certain they have the same understanding of and expectations for DNACPR decisions. </w:t>
      </w:r>
    </w:p>
    <w:p w14:paraId="34454AAC" w14:textId="060FD506" w:rsidR="00EE490D" w:rsidRDefault="00EE490D" w:rsidP="00EE490D">
      <w:pPr>
        <w:pStyle w:val="Heading2"/>
        <w:rPr>
          <w:rFonts w:ascii="Arial" w:hAnsi="Arial" w:cs="Arial"/>
          <w:smallCaps w:val="0"/>
          <w:sz w:val="24"/>
          <w:szCs w:val="24"/>
          <w:lang w:val="en-GB"/>
        </w:rPr>
      </w:pPr>
      <w:bookmarkStart w:id="42" w:name="_Toc184825946"/>
      <w:r>
        <w:rPr>
          <w:rFonts w:ascii="Arial" w:hAnsi="Arial" w:cs="Arial"/>
          <w:smallCaps w:val="0"/>
          <w:sz w:val="24"/>
          <w:szCs w:val="24"/>
          <w:lang w:val="en-GB"/>
        </w:rPr>
        <w:t>Decision making</w:t>
      </w:r>
      <w:bookmarkEnd w:id="42"/>
    </w:p>
    <w:p w14:paraId="614E6D0B" w14:textId="77777777" w:rsidR="00EE490D" w:rsidRDefault="00EE490D" w:rsidP="00EE490D">
      <w:pPr>
        <w:rPr>
          <w:rFonts w:ascii="Arial" w:hAnsi="Arial" w:cs="Arial"/>
          <w:color w:val="111111"/>
          <w:sz w:val="22"/>
          <w:szCs w:val="22"/>
          <w:shd w:val="clear" w:color="auto" w:fill="FFFFFF"/>
        </w:rPr>
      </w:pPr>
    </w:p>
    <w:p w14:paraId="08E8074F" w14:textId="6BB3E5A8" w:rsidR="00BE633B" w:rsidRDefault="00BE633B" w:rsidP="007004F2">
      <w:pPr>
        <w:shd w:val="clear" w:color="auto" w:fill="FFFFFF"/>
        <w:rPr>
          <w:rFonts w:ascii="Arial" w:hAnsi="Arial" w:cs="Arial"/>
          <w:sz w:val="22"/>
          <w:szCs w:val="22"/>
        </w:rPr>
      </w:pPr>
      <w:r>
        <w:rPr>
          <w:rFonts w:ascii="Arial" w:hAnsi="Arial" w:cs="Arial"/>
          <w:sz w:val="22"/>
          <w:szCs w:val="22"/>
        </w:rPr>
        <w:t xml:space="preserve">The </w:t>
      </w:r>
      <w:r w:rsidR="00D3186C" w:rsidRPr="00D3186C">
        <w:rPr>
          <w:rFonts w:ascii="Arial" w:hAnsi="Arial" w:cs="Arial"/>
          <w:sz w:val="22"/>
          <w:szCs w:val="22"/>
        </w:rPr>
        <w:t>joint guidance</w:t>
      </w:r>
      <w:r w:rsidR="00D3186C">
        <w:t xml:space="preserve"> </w:t>
      </w:r>
      <w:r>
        <w:rPr>
          <w:rFonts w:ascii="Arial" w:hAnsi="Arial" w:cs="Arial"/>
          <w:sz w:val="22"/>
          <w:szCs w:val="22"/>
        </w:rPr>
        <w:t>explain</w:t>
      </w:r>
      <w:r w:rsidR="00D3186C">
        <w:rPr>
          <w:rFonts w:ascii="Arial" w:hAnsi="Arial" w:cs="Arial"/>
          <w:sz w:val="22"/>
          <w:szCs w:val="22"/>
        </w:rPr>
        <w:t>s</w:t>
      </w:r>
      <w:r>
        <w:rPr>
          <w:rFonts w:ascii="Arial" w:hAnsi="Arial" w:cs="Arial"/>
          <w:sz w:val="22"/>
          <w:szCs w:val="22"/>
        </w:rPr>
        <w:t xml:space="preserve"> that every decision about CPR must be made </w:t>
      </w:r>
      <w:r w:rsidR="00D3186C">
        <w:rPr>
          <w:rFonts w:ascii="Arial" w:hAnsi="Arial" w:cs="Arial"/>
          <w:sz w:val="22"/>
          <w:szCs w:val="22"/>
        </w:rPr>
        <w:t>based on</w:t>
      </w:r>
      <w:r>
        <w:rPr>
          <w:rFonts w:ascii="Arial" w:hAnsi="Arial" w:cs="Arial"/>
          <w:sz w:val="22"/>
          <w:szCs w:val="22"/>
        </w:rPr>
        <w:t xml:space="preserve"> a careful assessment of each individual’s </w:t>
      </w:r>
      <w:r w:rsidR="005549E6">
        <w:rPr>
          <w:rFonts w:ascii="Arial" w:hAnsi="Arial" w:cs="Arial"/>
          <w:sz w:val="22"/>
          <w:szCs w:val="22"/>
        </w:rPr>
        <w:t>situation and</w:t>
      </w:r>
      <w:r>
        <w:rPr>
          <w:rFonts w:ascii="Arial" w:hAnsi="Arial" w:cs="Arial"/>
          <w:sz w:val="22"/>
          <w:szCs w:val="22"/>
        </w:rPr>
        <w:t xml:space="preserve"> is subject to review based on the person’s individual circumstances. Decisions </w:t>
      </w:r>
      <w:r>
        <w:rPr>
          <w:rFonts w:ascii="Arial" w:hAnsi="Arial" w:cs="Arial"/>
          <w:b/>
          <w:bCs/>
          <w:sz w:val="22"/>
          <w:szCs w:val="22"/>
        </w:rPr>
        <w:t xml:space="preserve">must never </w:t>
      </w:r>
      <w:r>
        <w:rPr>
          <w:rFonts w:ascii="Arial" w:hAnsi="Arial" w:cs="Arial"/>
          <w:sz w:val="22"/>
          <w:szCs w:val="22"/>
        </w:rPr>
        <w:t xml:space="preserve">be dictated by blanket </w:t>
      </w:r>
      <w:r>
        <w:rPr>
          <w:rFonts w:ascii="Arial" w:hAnsi="Arial" w:cs="Arial"/>
          <w:sz w:val="22"/>
          <w:szCs w:val="22"/>
        </w:rPr>
        <w:lastRenderedPageBreak/>
        <w:t>policies.</w:t>
      </w:r>
      <w:r w:rsidR="00254154">
        <w:rPr>
          <w:rFonts w:ascii="Arial" w:hAnsi="Arial" w:cs="Arial"/>
          <w:sz w:val="22"/>
          <w:szCs w:val="22"/>
        </w:rPr>
        <w:t xml:space="preserve"> </w:t>
      </w:r>
      <w:r>
        <w:rPr>
          <w:rFonts w:ascii="Arial" w:hAnsi="Arial" w:cs="Arial"/>
          <w:sz w:val="22"/>
          <w:szCs w:val="22"/>
        </w:rPr>
        <w:t>Effective communication is essential to ensure that decisions about CPR are made well</w:t>
      </w:r>
      <w:r w:rsidR="00254154">
        <w:rPr>
          <w:rFonts w:ascii="Arial" w:hAnsi="Arial" w:cs="Arial"/>
          <w:sz w:val="22"/>
          <w:szCs w:val="22"/>
        </w:rPr>
        <w:t>,</w:t>
      </w:r>
      <w:r>
        <w:rPr>
          <w:rFonts w:ascii="Arial" w:hAnsi="Arial" w:cs="Arial"/>
          <w:sz w:val="22"/>
          <w:szCs w:val="22"/>
        </w:rPr>
        <w:t xml:space="preserve"> and </w:t>
      </w:r>
      <w:r w:rsidR="00D3186C">
        <w:rPr>
          <w:rFonts w:ascii="Arial" w:hAnsi="Arial" w:cs="Arial"/>
          <w:sz w:val="22"/>
          <w:szCs w:val="22"/>
        </w:rPr>
        <w:t xml:space="preserve">communicated and </w:t>
      </w:r>
      <w:r>
        <w:rPr>
          <w:rFonts w:ascii="Arial" w:hAnsi="Arial" w:cs="Arial"/>
          <w:sz w:val="22"/>
          <w:szCs w:val="22"/>
        </w:rPr>
        <w:t xml:space="preserve">understood clearly by all those involved in the patient’s care. </w:t>
      </w:r>
    </w:p>
    <w:p w14:paraId="7718D036" w14:textId="77777777" w:rsidR="005549E6" w:rsidRDefault="005549E6" w:rsidP="007004F2">
      <w:pPr>
        <w:shd w:val="clear" w:color="auto" w:fill="FFFFFF"/>
        <w:rPr>
          <w:rFonts w:ascii="Arial" w:hAnsi="Arial" w:cs="Arial"/>
          <w:sz w:val="22"/>
          <w:szCs w:val="22"/>
        </w:rPr>
      </w:pPr>
    </w:p>
    <w:p w14:paraId="447B067C" w14:textId="387F7BFF" w:rsidR="00EE490D" w:rsidRDefault="005549E6" w:rsidP="00EE490D">
      <w:pPr>
        <w:shd w:val="clear" w:color="auto" w:fill="FFFFFF"/>
        <w:rPr>
          <w:rFonts w:ascii="Arial" w:hAnsi="Arial" w:cs="Arial"/>
          <w:color w:val="000000" w:themeColor="text1"/>
          <w:sz w:val="22"/>
          <w:szCs w:val="22"/>
        </w:rPr>
      </w:pPr>
      <w:r>
        <w:rPr>
          <w:rFonts w:ascii="Arial" w:hAnsi="Arial" w:cs="Arial"/>
          <w:sz w:val="22"/>
          <w:szCs w:val="22"/>
        </w:rPr>
        <w:t xml:space="preserve">DNACPR decisions must be free from any discrimination and comply with the </w:t>
      </w:r>
      <w:hyperlink r:id="rId13" w:history="1">
        <w:r w:rsidRPr="005549E6">
          <w:rPr>
            <w:rStyle w:val="Hyperlink"/>
            <w:rFonts w:ascii="Arial" w:hAnsi="Arial" w:cs="Arial"/>
            <w:sz w:val="22"/>
            <w:szCs w:val="22"/>
          </w:rPr>
          <w:t>Human Rights Act 1998</w:t>
        </w:r>
      </w:hyperlink>
      <w:r>
        <w:rPr>
          <w:rFonts w:ascii="Arial" w:hAnsi="Arial" w:cs="Arial"/>
          <w:sz w:val="22"/>
          <w:szCs w:val="22"/>
        </w:rPr>
        <w:t xml:space="preserve">. </w:t>
      </w:r>
      <w:r w:rsidR="00EE490D" w:rsidRPr="002E4985">
        <w:rPr>
          <w:rFonts w:ascii="Arial" w:hAnsi="Arial" w:cs="Arial"/>
          <w:color w:val="000000" w:themeColor="text1"/>
          <w:sz w:val="22"/>
          <w:szCs w:val="22"/>
        </w:rPr>
        <w:t>The General Medical Council (GMC) has published </w:t>
      </w:r>
      <w:hyperlink r:id="rId14" w:history="1">
        <w:r w:rsidR="00EE490D" w:rsidRPr="002E4985">
          <w:rPr>
            <w:rStyle w:val="Hyperlink"/>
            <w:rFonts w:ascii="Arial" w:hAnsi="Arial" w:cs="Arial"/>
            <w:sz w:val="22"/>
            <w:szCs w:val="22"/>
            <w:shd w:val="clear" w:color="auto" w:fill="FFFFFF"/>
          </w:rPr>
          <w:t>guidance for providers on decision-making models</w:t>
        </w:r>
      </w:hyperlink>
      <w:r w:rsidR="00EE490D">
        <w:rPr>
          <w:rStyle w:val="Hyperlink"/>
          <w:rFonts w:ascii="Arial" w:hAnsi="Arial" w:cs="Arial"/>
          <w:color w:val="000000" w:themeColor="text1"/>
          <w:sz w:val="22"/>
          <w:szCs w:val="22"/>
          <w:u w:val="none"/>
          <w:shd w:val="clear" w:color="auto" w:fill="FFFFFF"/>
        </w:rPr>
        <w:t xml:space="preserve"> which </w:t>
      </w:r>
      <w:r w:rsidR="00EE490D" w:rsidRPr="002E4985">
        <w:rPr>
          <w:rFonts w:ascii="Arial" w:hAnsi="Arial" w:cs="Arial"/>
          <w:color w:val="000000" w:themeColor="text1"/>
          <w:sz w:val="22"/>
          <w:szCs w:val="22"/>
        </w:rPr>
        <w:t>explains what options are available for patients with and without capacity.</w:t>
      </w:r>
      <w:r w:rsidR="00E02790">
        <w:rPr>
          <w:rFonts w:ascii="Arial" w:hAnsi="Arial" w:cs="Arial"/>
          <w:color w:val="000000" w:themeColor="text1"/>
          <w:sz w:val="22"/>
          <w:szCs w:val="22"/>
        </w:rPr>
        <w:t xml:space="preserve"> </w:t>
      </w:r>
      <w:r>
        <w:rPr>
          <w:rFonts w:ascii="Arial" w:hAnsi="Arial" w:cs="Arial"/>
          <w:color w:val="000000" w:themeColor="text1"/>
          <w:sz w:val="22"/>
          <w:szCs w:val="22"/>
        </w:rPr>
        <w:t xml:space="preserve">The RCUK DNACPR decision-making framework at </w:t>
      </w:r>
      <w:hyperlink w:anchor="_Annex_A_–" w:history="1">
        <w:r w:rsidR="00645B15">
          <w:rPr>
            <w:rStyle w:val="Hyperlink"/>
            <w:rFonts w:ascii="Arial" w:hAnsi="Arial" w:cs="Arial"/>
            <w:sz w:val="22"/>
            <w:szCs w:val="22"/>
          </w:rPr>
          <w:t>Annex B</w:t>
        </w:r>
      </w:hyperlink>
      <w:r>
        <w:rPr>
          <w:rFonts w:ascii="Arial" w:hAnsi="Arial" w:cs="Arial"/>
          <w:color w:val="000000" w:themeColor="text1"/>
          <w:sz w:val="22"/>
          <w:szCs w:val="22"/>
        </w:rPr>
        <w:t xml:space="preserve"> provides further guidance for staff. </w:t>
      </w:r>
    </w:p>
    <w:p w14:paraId="43EE7086" w14:textId="33A86C17" w:rsidR="00EE490D" w:rsidRPr="008F1C80" w:rsidRDefault="0074688A" w:rsidP="00EE490D">
      <w:pPr>
        <w:pStyle w:val="Heading2"/>
        <w:rPr>
          <w:rFonts w:ascii="Arial" w:hAnsi="Arial" w:cs="Arial"/>
          <w:smallCaps w:val="0"/>
          <w:sz w:val="24"/>
          <w:szCs w:val="24"/>
          <w:lang w:val="en-GB"/>
        </w:rPr>
      </w:pPr>
      <w:bookmarkStart w:id="43" w:name="_Toc184825947"/>
      <w:r>
        <w:rPr>
          <w:rFonts w:ascii="Arial" w:hAnsi="Arial" w:cs="Arial"/>
          <w:smallCaps w:val="0"/>
          <w:sz w:val="24"/>
          <w:szCs w:val="24"/>
          <w:lang w:val="en-GB"/>
        </w:rPr>
        <w:t>A</w:t>
      </w:r>
      <w:r w:rsidR="00EE490D" w:rsidRPr="008F1C80">
        <w:rPr>
          <w:rFonts w:ascii="Arial" w:hAnsi="Arial" w:cs="Arial"/>
          <w:smallCaps w:val="0"/>
          <w:sz w:val="24"/>
          <w:szCs w:val="24"/>
          <w:lang w:val="en-GB"/>
        </w:rPr>
        <w:t>dvance care plan</w:t>
      </w:r>
      <w:r>
        <w:rPr>
          <w:rFonts w:ascii="Arial" w:hAnsi="Arial" w:cs="Arial"/>
          <w:smallCaps w:val="0"/>
          <w:sz w:val="24"/>
          <w:szCs w:val="24"/>
          <w:lang w:val="en-GB"/>
        </w:rPr>
        <w:t>ning</w:t>
      </w:r>
      <w:bookmarkEnd w:id="43"/>
    </w:p>
    <w:p w14:paraId="2D5F9514" w14:textId="77777777" w:rsidR="00EE490D" w:rsidRPr="008F1C80" w:rsidRDefault="00EE490D" w:rsidP="00EE490D">
      <w:pPr>
        <w:rPr>
          <w:rFonts w:ascii="Arial" w:hAnsi="Arial" w:cs="Arial"/>
          <w:sz w:val="22"/>
          <w:szCs w:val="22"/>
        </w:rPr>
      </w:pPr>
    </w:p>
    <w:p w14:paraId="2150659E" w14:textId="71F8B70B" w:rsidR="00C37EAD" w:rsidRDefault="001566AA" w:rsidP="00EE490D">
      <w:pPr>
        <w:rPr>
          <w:rFonts w:ascii="Arial" w:hAnsi="Arial" w:cs="Arial"/>
          <w:sz w:val="22"/>
          <w:szCs w:val="22"/>
        </w:rPr>
      </w:pPr>
      <w:r>
        <w:rPr>
          <w:rFonts w:ascii="Arial" w:hAnsi="Arial" w:cs="Arial"/>
          <w:sz w:val="22"/>
          <w:szCs w:val="22"/>
        </w:rPr>
        <w:t xml:space="preserve">This organisation will use the </w:t>
      </w:r>
      <w:hyperlink r:id="rId15" w:history="1">
        <w:r w:rsidRPr="001566AA">
          <w:rPr>
            <w:rStyle w:val="Hyperlink"/>
            <w:rFonts w:ascii="Arial" w:hAnsi="Arial" w:cs="Arial"/>
            <w:sz w:val="22"/>
            <w:szCs w:val="22"/>
          </w:rPr>
          <w:t>Universal Principles for Advance Care Planning</w:t>
        </w:r>
      </w:hyperlink>
      <w:r w:rsidR="00EE490D" w:rsidRPr="008F1C80">
        <w:rPr>
          <w:rFonts w:ascii="Arial" w:hAnsi="Arial" w:cs="Arial"/>
          <w:sz w:val="22"/>
          <w:szCs w:val="22"/>
        </w:rPr>
        <w:t xml:space="preserve"> </w:t>
      </w:r>
      <w:r>
        <w:rPr>
          <w:rFonts w:ascii="Arial" w:hAnsi="Arial" w:cs="Arial"/>
          <w:sz w:val="22"/>
          <w:szCs w:val="22"/>
        </w:rPr>
        <w:t xml:space="preserve">which enables a person-centred discussion between an individual and their care providers about their preferences and priorities for their future care. </w:t>
      </w:r>
    </w:p>
    <w:p w14:paraId="1C11806C" w14:textId="543CA7DA" w:rsidR="00684D46" w:rsidRDefault="009F0414" w:rsidP="00C47344">
      <w:pPr>
        <w:pStyle w:val="Heading2"/>
        <w:rPr>
          <w:rFonts w:ascii="Arial" w:hAnsi="Arial" w:cs="Arial"/>
          <w:smallCaps w:val="0"/>
          <w:sz w:val="24"/>
          <w:szCs w:val="24"/>
          <w:lang w:val="en-GB"/>
        </w:rPr>
      </w:pPr>
      <w:bookmarkStart w:id="44" w:name="_Toc184825948"/>
      <w:r>
        <w:rPr>
          <w:rFonts w:ascii="Arial" w:hAnsi="Arial" w:cs="Arial"/>
          <w:smallCaps w:val="0"/>
          <w:sz w:val="24"/>
          <w:szCs w:val="24"/>
          <w:lang w:val="en-GB"/>
        </w:rPr>
        <w:t>ReSPECT</w:t>
      </w:r>
      <w:bookmarkEnd w:id="44"/>
    </w:p>
    <w:p w14:paraId="320DEB45" w14:textId="5B07765B" w:rsidR="009F0414" w:rsidRDefault="009F0414" w:rsidP="009F0414">
      <w:pPr>
        <w:rPr>
          <w:lang w:eastAsia="en-US"/>
        </w:rPr>
      </w:pPr>
    </w:p>
    <w:p w14:paraId="4C6E4961" w14:textId="162FD2EA" w:rsidR="00EE490D" w:rsidRDefault="00E02790" w:rsidP="00E02790">
      <w:pPr>
        <w:rPr>
          <w:rFonts w:ascii="Arial" w:hAnsi="Arial" w:cs="Arial"/>
          <w:color w:val="000000" w:themeColor="text1"/>
          <w:sz w:val="22"/>
          <w:szCs w:val="22"/>
        </w:rPr>
      </w:pPr>
      <w:hyperlink r:id="rId16" w:history="1">
        <w:r w:rsidRPr="00E02790">
          <w:rPr>
            <w:rStyle w:val="Hyperlink"/>
            <w:rFonts w:ascii="Arial" w:hAnsi="Arial" w:cs="Arial"/>
            <w:sz w:val="22"/>
            <w:szCs w:val="22"/>
          </w:rPr>
          <w:t>RCUK’s ReSPECT guidance</w:t>
        </w:r>
      </w:hyperlink>
      <w:r>
        <w:rPr>
          <w:rFonts w:ascii="Arial" w:hAnsi="Arial" w:cs="Arial"/>
          <w:color w:val="000000" w:themeColor="text1"/>
          <w:sz w:val="22"/>
          <w:szCs w:val="22"/>
        </w:rPr>
        <w:t xml:space="preserve"> explains that a </w:t>
      </w:r>
      <w:r w:rsidR="00A90DDD" w:rsidRPr="001A4626">
        <w:rPr>
          <w:rFonts w:ascii="Arial" w:hAnsi="Arial" w:cs="Arial"/>
          <w:color w:val="000000" w:themeColor="text1"/>
          <w:sz w:val="22"/>
          <w:szCs w:val="22"/>
        </w:rPr>
        <w:t>Recommended Summary Plan for Emergency Care and Treatment</w:t>
      </w:r>
      <w:r w:rsidR="00A90DDD">
        <w:rPr>
          <w:rFonts w:ascii="Arial" w:hAnsi="Arial" w:cs="Arial"/>
          <w:color w:val="000000" w:themeColor="text1"/>
          <w:sz w:val="22"/>
          <w:szCs w:val="22"/>
        </w:rPr>
        <w:t xml:space="preserve"> (</w:t>
      </w:r>
      <w:r w:rsidR="009F0414" w:rsidRPr="001A4626">
        <w:rPr>
          <w:rFonts w:ascii="Arial" w:hAnsi="Arial" w:cs="Arial"/>
          <w:color w:val="000000" w:themeColor="text1"/>
          <w:sz w:val="22"/>
          <w:szCs w:val="22"/>
        </w:rPr>
        <w:t>ReSPECT</w:t>
      </w:r>
      <w:r w:rsidR="00A90DDD">
        <w:rPr>
          <w:rFonts w:ascii="Arial" w:hAnsi="Arial" w:cs="Arial"/>
          <w:color w:val="000000" w:themeColor="text1"/>
          <w:sz w:val="22"/>
          <w:szCs w:val="22"/>
        </w:rPr>
        <w:t>)</w:t>
      </w:r>
      <w:r w:rsidR="009F0414" w:rsidRPr="001A4626">
        <w:rPr>
          <w:rFonts w:ascii="Arial" w:hAnsi="Arial" w:cs="Arial"/>
          <w:color w:val="000000" w:themeColor="text1"/>
          <w:sz w:val="22"/>
          <w:szCs w:val="22"/>
        </w:rPr>
        <w:t xml:space="preserve"> </w:t>
      </w:r>
      <w:r w:rsidR="00EE490D">
        <w:rPr>
          <w:rFonts w:ascii="Arial" w:hAnsi="Arial" w:cs="Arial"/>
          <w:color w:val="000000" w:themeColor="text1"/>
          <w:sz w:val="22"/>
          <w:szCs w:val="22"/>
        </w:rPr>
        <w:t xml:space="preserve">is a </w:t>
      </w:r>
      <w:r w:rsidR="00EE490D" w:rsidRPr="001A4626">
        <w:rPr>
          <w:rFonts w:ascii="Arial" w:hAnsi="Arial" w:cs="Arial"/>
          <w:color w:val="000000" w:themeColor="text1"/>
          <w:sz w:val="22"/>
          <w:szCs w:val="22"/>
        </w:rPr>
        <w:t xml:space="preserve">process </w:t>
      </w:r>
      <w:r>
        <w:rPr>
          <w:rFonts w:ascii="Arial" w:hAnsi="Arial" w:cs="Arial"/>
          <w:color w:val="000000" w:themeColor="text1"/>
          <w:sz w:val="22"/>
          <w:szCs w:val="22"/>
        </w:rPr>
        <w:t>that creates a summary of personalised recommendations for a person’s clinical care in a future emergency wh</w:t>
      </w:r>
      <w:r w:rsidR="00D65671">
        <w:rPr>
          <w:rFonts w:ascii="Arial" w:hAnsi="Arial" w:cs="Arial"/>
          <w:color w:val="000000" w:themeColor="text1"/>
          <w:sz w:val="22"/>
          <w:szCs w:val="22"/>
        </w:rPr>
        <w:t>en</w:t>
      </w:r>
      <w:r>
        <w:rPr>
          <w:rFonts w:ascii="Arial" w:hAnsi="Arial" w:cs="Arial"/>
          <w:color w:val="000000" w:themeColor="text1"/>
          <w:sz w:val="22"/>
          <w:szCs w:val="22"/>
        </w:rPr>
        <w:t xml:space="preserve"> they do not have capacity to make or expect choices. </w:t>
      </w:r>
    </w:p>
    <w:p w14:paraId="03D7A876" w14:textId="77777777" w:rsidR="00E02790" w:rsidRPr="001A4626" w:rsidRDefault="00E02790" w:rsidP="00E02790">
      <w:pPr>
        <w:rPr>
          <w:rFonts w:ascii="Arial" w:hAnsi="Arial" w:cs="Arial"/>
          <w:color w:val="000000" w:themeColor="text1"/>
          <w:sz w:val="22"/>
          <w:szCs w:val="22"/>
        </w:rPr>
      </w:pPr>
    </w:p>
    <w:p w14:paraId="0F39E5C5" w14:textId="7D3DF927" w:rsidR="00BE71AF" w:rsidRDefault="00EE490D" w:rsidP="001A4626">
      <w:pPr>
        <w:pStyle w:val="NormalWeb"/>
        <w:shd w:val="clear" w:color="auto" w:fill="FFFFFF"/>
        <w:spacing w:before="0" w:beforeAutospacing="0" w:after="0" w:afterAutospacing="0"/>
        <w:rPr>
          <w:rStyle w:val="Hyperlink"/>
          <w:color w:val="000000" w:themeColor="text1"/>
          <w:u w:val="none"/>
          <w:shd w:val="clear" w:color="auto" w:fill="FFFFFF"/>
        </w:rPr>
      </w:pPr>
      <w:r w:rsidRPr="001A4626">
        <w:rPr>
          <w:rFonts w:ascii="Arial" w:hAnsi="Arial" w:cs="Arial"/>
          <w:color w:val="000000" w:themeColor="text1"/>
          <w:sz w:val="22"/>
          <w:szCs w:val="22"/>
        </w:rPr>
        <w:t xml:space="preserve">ReSPECT </w:t>
      </w:r>
      <w:r w:rsidR="00E02790">
        <w:rPr>
          <w:rFonts w:ascii="Arial" w:hAnsi="Arial" w:cs="Arial"/>
          <w:color w:val="000000" w:themeColor="text1"/>
          <w:sz w:val="22"/>
          <w:szCs w:val="22"/>
        </w:rPr>
        <w:t>and</w:t>
      </w:r>
      <w:r w:rsidRPr="001A4626">
        <w:rPr>
          <w:rFonts w:ascii="Arial" w:hAnsi="Arial" w:cs="Arial"/>
          <w:color w:val="000000" w:themeColor="text1"/>
          <w:sz w:val="22"/>
          <w:szCs w:val="22"/>
        </w:rPr>
        <w:t xml:space="preserve"> DNACPR forms are </w:t>
      </w:r>
      <w:r w:rsidR="00E02790">
        <w:rPr>
          <w:rFonts w:ascii="Arial" w:hAnsi="Arial" w:cs="Arial"/>
          <w:color w:val="000000" w:themeColor="text1"/>
          <w:sz w:val="22"/>
          <w:szCs w:val="22"/>
        </w:rPr>
        <w:t xml:space="preserve">not </w:t>
      </w:r>
      <w:r w:rsidRPr="001A4626">
        <w:rPr>
          <w:rFonts w:ascii="Arial" w:hAnsi="Arial" w:cs="Arial"/>
          <w:color w:val="000000" w:themeColor="text1"/>
          <w:sz w:val="22"/>
          <w:szCs w:val="22"/>
        </w:rPr>
        <w:t xml:space="preserve">legally </w:t>
      </w:r>
      <w:r w:rsidR="004D6D92" w:rsidRPr="00FC595E">
        <w:rPr>
          <w:rFonts w:ascii="Arial" w:hAnsi="Arial" w:cs="Arial"/>
          <w:color w:val="000000" w:themeColor="text1"/>
          <w:sz w:val="22"/>
          <w:szCs w:val="22"/>
        </w:rPr>
        <w:t>binding</w:t>
      </w:r>
      <w:r>
        <w:rPr>
          <w:rFonts w:ascii="Arial" w:hAnsi="Arial" w:cs="Arial"/>
          <w:color w:val="000000" w:themeColor="text1"/>
          <w:sz w:val="22"/>
          <w:szCs w:val="22"/>
        </w:rPr>
        <w:t xml:space="preserve"> and</w:t>
      </w:r>
      <w:r w:rsidRPr="001A4626">
        <w:rPr>
          <w:rFonts w:ascii="Arial" w:hAnsi="Arial" w:cs="Arial"/>
          <w:color w:val="000000" w:themeColor="text1"/>
          <w:sz w:val="22"/>
          <w:szCs w:val="22"/>
        </w:rPr>
        <w:t xml:space="preserve"> GPs will </w:t>
      </w:r>
      <w:r w:rsidR="00A90DDD">
        <w:rPr>
          <w:rFonts w:ascii="Arial" w:hAnsi="Arial" w:cs="Arial"/>
          <w:color w:val="000000" w:themeColor="text1"/>
          <w:sz w:val="22"/>
          <w:szCs w:val="22"/>
        </w:rPr>
        <w:t xml:space="preserve">have </w:t>
      </w:r>
      <w:r w:rsidRPr="001A4626">
        <w:rPr>
          <w:rFonts w:ascii="Arial" w:hAnsi="Arial" w:cs="Arial"/>
          <w:color w:val="000000" w:themeColor="text1"/>
          <w:sz w:val="22"/>
          <w:szCs w:val="22"/>
        </w:rPr>
        <w:t>to use clinical judgment</w:t>
      </w:r>
      <w:r>
        <w:rPr>
          <w:rFonts w:ascii="Arial" w:hAnsi="Arial" w:cs="Arial"/>
          <w:color w:val="000000" w:themeColor="text1"/>
          <w:sz w:val="22"/>
          <w:szCs w:val="22"/>
        </w:rPr>
        <w:t xml:space="preserve"> so may </w:t>
      </w:r>
      <w:r w:rsidRPr="00FC595E">
        <w:rPr>
          <w:rFonts w:ascii="Arial" w:hAnsi="Arial" w:cs="Arial"/>
          <w:color w:val="000000" w:themeColor="text1"/>
          <w:sz w:val="22"/>
          <w:szCs w:val="22"/>
        </w:rPr>
        <w:t>decide</w:t>
      </w:r>
      <w:r w:rsidRPr="001A4626">
        <w:rPr>
          <w:rFonts w:ascii="Arial" w:hAnsi="Arial" w:cs="Arial"/>
          <w:color w:val="000000" w:themeColor="text1"/>
          <w:sz w:val="22"/>
          <w:szCs w:val="22"/>
        </w:rPr>
        <w:t xml:space="preserve"> </w:t>
      </w:r>
      <w:r w:rsidR="001A4626">
        <w:rPr>
          <w:rFonts w:ascii="Arial" w:hAnsi="Arial" w:cs="Arial"/>
          <w:color w:val="000000" w:themeColor="text1"/>
          <w:sz w:val="22"/>
          <w:szCs w:val="22"/>
        </w:rPr>
        <w:t>not</w:t>
      </w:r>
      <w:r w:rsidR="001A4626" w:rsidRPr="001A4626">
        <w:rPr>
          <w:rFonts w:ascii="Arial" w:hAnsi="Arial" w:cs="Arial"/>
          <w:color w:val="000000" w:themeColor="text1"/>
          <w:sz w:val="22"/>
          <w:szCs w:val="22"/>
        </w:rPr>
        <w:t xml:space="preserve"> </w:t>
      </w:r>
      <w:r w:rsidRPr="001A4626">
        <w:rPr>
          <w:rFonts w:ascii="Arial" w:hAnsi="Arial" w:cs="Arial"/>
          <w:color w:val="000000" w:themeColor="text1"/>
          <w:sz w:val="22"/>
          <w:szCs w:val="22"/>
        </w:rPr>
        <w:t>to follow the recommendations o</w:t>
      </w:r>
      <w:r w:rsidR="00D65671">
        <w:rPr>
          <w:rFonts w:ascii="Arial" w:hAnsi="Arial" w:cs="Arial"/>
          <w:color w:val="000000" w:themeColor="text1"/>
          <w:sz w:val="22"/>
          <w:szCs w:val="22"/>
        </w:rPr>
        <w:t>f</w:t>
      </w:r>
      <w:r w:rsidRPr="001A4626">
        <w:rPr>
          <w:rFonts w:ascii="Arial" w:hAnsi="Arial" w:cs="Arial"/>
          <w:color w:val="000000" w:themeColor="text1"/>
          <w:sz w:val="22"/>
          <w:szCs w:val="22"/>
        </w:rPr>
        <w:t xml:space="preserve"> a ReSPECT form. </w:t>
      </w:r>
    </w:p>
    <w:p w14:paraId="56CB9154" w14:textId="4A56D297" w:rsidR="00452967" w:rsidRPr="003521CD" w:rsidRDefault="00452967" w:rsidP="003521CD">
      <w:pPr>
        <w:pStyle w:val="Heading2"/>
        <w:rPr>
          <w:rFonts w:ascii="Arial" w:hAnsi="Arial" w:cs="Arial"/>
          <w:sz w:val="24"/>
          <w:szCs w:val="24"/>
        </w:rPr>
      </w:pPr>
      <w:bookmarkStart w:id="45" w:name="_Toc81819101"/>
      <w:bookmarkStart w:id="46" w:name="_Toc81821792"/>
      <w:bookmarkStart w:id="47" w:name="_Toc81821866"/>
      <w:bookmarkStart w:id="48" w:name="_Toc81821942"/>
      <w:bookmarkStart w:id="49" w:name="_Toc81822257"/>
      <w:bookmarkStart w:id="50" w:name="_Toc81819102"/>
      <w:bookmarkStart w:id="51" w:name="_Toc81821793"/>
      <w:bookmarkStart w:id="52" w:name="_Toc81821867"/>
      <w:bookmarkStart w:id="53" w:name="_Toc81821943"/>
      <w:bookmarkStart w:id="54" w:name="_Toc81822258"/>
      <w:bookmarkStart w:id="55" w:name="_Toc104711148"/>
      <w:bookmarkStart w:id="56" w:name="_Toc104712034"/>
      <w:bookmarkStart w:id="57" w:name="_Toc104712348"/>
      <w:bookmarkStart w:id="58" w:name="_Toc104711149"/>
      <w:bookmarkStart w:id="59" w:name="_Toc104712035"/>
      <w:bookmarkStart w:id="60" w:name="_Toc104712349"/>
      <w:bookmarkStart w:id="61" w:name="_Toc184825949"/>
      <w:bookmarkEnd w:id="4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521CD">
        <w:rPr>
          <w:rFonts w:ascii="Arial" w:hAnsi="Arial" w:cs="Arial"/>
          <w:smallCaps w:val="0"/>
          <w:sz w:val="24"/>
          <w:szCs w:val="24"/>
          <w:lang w:val="en-GB"/>
        </w:rPr>
        <w:t>Advance Decision to Refuse Treatment</w:t>
      </w:r>
      <w:r w:rsidR="004A06F4">
        <w:rPr>
          <w:rFonts w:ascii="Arial" w:hAnsi="Arial" w:cs="Arial"/>
          <w:smallCaps w:val="0"/>
          <w:sz w:val="24"/>
          <w:szCs w:val="24"/>
          <w:lang w:val="en-GB"/>
        </w:rPr>
        <w:t xml:space="preserve"> (ADRT)</w:t>
      </w:r>
      <w:bookmarkEnd w:id="61"/>
    </w:p>
    <w:p w14:paraId="5B14B29E" w14:textId="77777777" w:rsidR="00452967" w:rsidRDefault="00452967" w:rsidP="00FC595E">
      <w:pPr>
        <w:rPr>
          <w:rFonts w:ascii="Arial" w:hAnsi="Arial" w:cs="Arial"/>
          <w:color w:val="111111"/>
          <w:sz w:val="22"/>
          <w:szCs w:val="22"/>
          <w:shd w:val="clear" w:color="auto" w:fill="FFFFFF"/>
        </w:rPr>
      </w:pPr>
    </w:p>
    <w:p w14:paraId="27CA16EC" w14:textId="4D8C382A" w:rsidR="00AA559F" w:rsidRDefault="00537E42" w:rsidP="00FC595E">
      <w:pPr>
        <w:rPr>
          <w:rFonts w:ascii="Arial" w:hAnsi="Arial" w:cs="Arial"/>
          <w:color w:val="111111"/>
          <w:sz w:val="22"/>
          <w:szCs w:val="22"/>
          <w:shd w:val="clear" w:color="auto" w:fill="FFFFFF"/>
        </w:rPr>
      </w:pPr>
      <w:r w:rsidRPr="00537E42">
        <w:rPr>
          <w:rFonts w:ascii="Arial" w:hAnsi="Arial" w:cs="Arial"/>
          <w:sz w:val="22"/>
          <w:szCs w:val="22"/>
          <w:shd w:val="clear" w:color="auto" w:fill="FFFFFF"/>
        </w:rPr>
        <w:t>The</w:t>
      </w:r>
      <w:r>
        <w:rPr>
          <w:rFonts w:ascii="Arial" w:hAnsi="Arial" w:cs="Arial"/>
          <w:sz w:val="22"/>
          <w:szCs w:val="22"/>
          <w:shd w:val="clear" w:color="auto" w:fill="FFFFFF"/>
        </w:rPr>
        <w:t xml:space="preserve"> joint guidance </w:t>
      </w:r>
      <w:r w:rsidR="00AA559F">
        <w:rPr>
          <w:rFonts w:ascii="Arial" w:hAnsi="Arial" w:cs="Arial"/>
          <w:color w:val="111111"/>
          <w:sz w:val="22"/>
          <w:szCs w:val="22"/>
          <w:shd w:val="clear" w:color="auto" w:fill="FFFFFF"/>
        </w:rPr>
        <w:t>explain</w:t>
      </w:r>
      <w:r>
        <w:rPr>
          <w:rFonts w:ascii="Arial" w:hAnsi="Arial" w:cs="Arial"/>
          <w:color w:val="111111"/>
          <w:sz w:val="22"/>
          <w:szCs w:val="22"/>
          <w:shd w:val="clear" w:color="auto" w:fill="FFFFFF"/>
        </w:rPr>
        <w:t>s</w:t>
      </w:r>
      <w:r w:rsidR="00AA559F">
        <w:rPr>
          <w:rFonts w:ascii="Arial" w:hAnsi="Arial" w:cs="Arial"/>
          <w:color w:val="111111"/>
          <w:sz w:val="22"/>
          <w:szCs w:val="22"/>
          <w:shd w:val="clear" w:color="auto" w:fill="FFFFFF"/>
        </w:rPr>
        <w:t xml:space="preserve"> that CPR must not be attempted if it is contrary to a valid and applicable ADRT (in England and Wales) made when the person had capacity. </w:t>
      </w:r>
      <w:r w:rsidR="006A73CD">
        <w:rPr>
          <w:rFonts w:ascii="Arial" w:hAnsi="Arial" w:cs="Arial"/>
          <w:color w:val="111111"/>
          <w:sz w:val="22"/>
          <w:szCs w:val="22"/>
          <w:shd w:val="clear" w:color="auto" w:fill="FFFFFF"/>
        </w:rPr>
        <w:t>In Scotland and Northern Ireland</w:t>
      </w:r>
      <w:r w:rsidR="00D65671">
        <w:rPr>
          <w:rFonts w:ascii="Arial" w:hAnsi="Arial" w:cs="Arial"/>
          <w:color w:val="111111"/>
          <w:sz w:val="22"/>
          <w:szCs w:val="22"/>
          <w:shd w:val="clear" w:color="auto" w:fill="FFFFFF"/>
        </w:rPr>
        <w:t>,</w:t>
      </w:r>
      <w:r w:rsidR="006A73CD">
        <w:rPr>
          <w:rFonts w:ascii="Arial" w:hAnsi="Arial" w:cs="Arial"/>
          <w:color w:val="111111"/>
          <w:sz w:val="22"/>
          <w:szCs w:val="22"/>
          <w:shd w:val="clear" w:color="auto" w:fill="FFFFFF"/>
        </w:rPr>
        <w:t xml:space="preserve"> ADRTs are not covered by statute but are likely to be binding under common law.</w:t>
      </w:r>
    </w:p>
    <w:p w14:paraId="7AE5BAA9" w14:textId="77777777" w:rsidR="00AA559F" w:rsidRDefault="00AA559F" w:rsidP="00FC595E">
      <w:pPr>
        <w:rPr>
          <w:rFonts w:ascii="Arial" w:hAnsi="Arial" w:cs="Arial"/>
          <w:color w:val="111111"/>
          <w:sz w:val="22"/>
          <w:szCs w:val="22"/>
          <w:shd w:val="clear" w:color="auto" w:fill="FFFFFF"/>
        </w:rPr>
      </w:pPr>
    </w:p>
    <w:p w14:paraId="5FB7DF20" w14:textId="43FD74A5" w:rsidR="00452967" w:rsidRDefault="00AA5A08" w:rsidP="00FC595E">
      <w:pPr>
        <w:rPr>
          <w:rFonts w:ascii="Arial" w:hAnsi="Arial" w:cs="Arial"/>
          <w:color w:val="111111"/>
          <w:sz w:val="22"/>
          <w:szCs w:val="22"/>
          <w:shd w:val="clear" w:color="auto" w:fill="FFFFFF"/>
        </w:rPr>
      </w:pPr>
      <w:r>
        <w:rPr>
          <w:rFonts w:ascii="Arial" w:hAnsi="Arial" w:cs="Arial"/>
          <w:color w:val="111111"/>
          <w:sz w:val="22"/>
          <w:szCs w:val="22"/>
          <w:shd w:val="clear" w:color="auto" w:fill="FFFFFF"/>
        </w:rPr>
        <w:t xml:space="preserve">An advance decision is a decision patients can make to refuse a specific type of treatment at some time in the future. The scope of treatments the patient is deciding to refuse will be in the advance decision. Advance decisions are sometimes known as </w:t>
      </w:r>
      <w:r w:rsidR="00BF3472">
        <w:rPr>
          <w:rFonts w:ascii="Arial" w:hAnsi="Arial" w:cs="Arial"/>
          <w:color w:val="111111"/>
          <w:sz w:val="22"/>
          <w:szCs w:val="22"/>
          <w:shd w:val="clear" w:color="auto" w:fill="FFFFFF"/>
        </w:rPr>
        <w:t>an</w:t>
      </w:r>
      <w:r>
        <w:rPr>
          <w:rFonts w:ascii="Arial" w:hAnsi="Arial" w:cs="Arial"/>
          <w:color w:val="111111"/>
          <w:sz w:val="22"/>
          <w:szCs w:val="22"/>
          <w:shd w:val="clear" w:color="auto" w:fill="FFFFFF"/>
        </w:rPr>
        <w:t xml:space="preserve"> advance decision to </w:t>
      </w:r>
      <w:r w:rsidR="004447C4">
        <w:rPr>
          <w:rFonts w:ascii="Arial" w:hAnsi="Arial" w:cs="Arial"/>
          <w:color w:val="111111"/>
          <w:sz w:val="22"/>
          <w:szCs w:val="22"/>
          <w:shd w:val="clear" w:color="auto" w:fill="FFFFFF"/>
        </w:rPr>
        <w:t xml:space="preserve">refuse treatment, an ADRT or </w:t>
      </w:r>
      <w:r w:rsidR="00A90DDD">
        <w:rPr>
          <w:rFonts w:ascii="Arial" w:hAnsi="Arial" w:cs="Arial"/>
          <w:color w:val="111111"/>
          <w:sz w:val="22"/>
          <w:szCs w:val="22"/>
          <w:shd w:val="clear" w:color="auto" w:fill="FFFFFF"/>
        </w:rPr>
        <w:t xml:space="preserve">a </w:t>
      </w:r>
      <w:r w:rsidR="004447C4">
        <w:rPr>
          <w:rFonts w:ascii="Arial" w:hAnsi="Arial" w:cs="Arial"/>
          <w:color w:val="111111"/>
          <w:sz w:val="22"/>
          <w:szCs w:val="22"/>
          <w:shd w:val="clear" w:color="auto" w:fill="FFFFFF"/>
        </w:rPr>
        <w:t>living will.</w:t>
      </w:r>
    </w:p>
    <w:p w14:paraId="2AE07725" w14:textId="77777777" w:rsidR="004447C4" w:rsidRDefault="004447C4" w:rsidP="00FC595E">
      <w:pPr>
        <w:rPr>
          <w:rFonts w:ascii="Arial" w:hAnsi="Arial" w:cs="Arial"/>
          <w:color w:val="111111"/>
          <w:sz w:val="22"/>
          <w:szCs w:val="22"/>
          <w:shd w:val="clear" w:color="auto" w:fill="FFFFFF"/>
        </w:rPr>
      </w:pPr>
    </w:p>
    <w:p w14:paraId="173C9F5B" w14:textId="0DE8AE82" w:rsidR="00BE71AF" w:rsidRDefault="00AA559F" w:rsidP="004447C4">
      <w:pPr>
        <w:rPr>
          <w:rFonts w:ascii="Arial" w:hAnsi="Arial" w:cs="Arial"/>
          <w:color w:val="111111"/>
          <w:sz w:val="22"/>
          <w:szCs w:val="22"/>
          <w:shd w:val="clear" w:color="auto" w:fill="FFFFFF"/>
        </w:rPr>
      </w:pPr>
      <w:r>
        <w:rPr>
          <w:rFonts w:ascii="Arial" w:hAnsi="Arial" w:cs="Arial"/>
          <w:color w:val="111111"/>
          <w:sz w:val="22"/>
          <w:szCs w:val="22"/>
          <w:shd w:val="clear" w:color="auto" w:fill="FFFFFF"/>
        </w:rPr>
        <w:t xml:space="preserve">A range of charities have produced ADRT templates, including </w:t>
      </w:r>
      <w:hyperlink r:id="rId17" w:history="1">
        <w:r w:rsidRPr="00AA559F">
          <w:rPr>
            <w:rStyle w:val="Hyperlink"/>
            <w:rFonts w:ascii="Arial" w:hAnsi="Arial" w:cs="Arial"/>
            <w:sz w:val="22"/>
            <w:szCs w:val="22"/>
            <w:shd w:val="clear" w:color="auto" w:fill="FFFFFF"/>
          </w:rPr>
          <w:t>Macmillan</w:t>
        </w:r>
      </w:hyperlink>
      <w:r>
        <w:rPr>
          <w:rFonts w:ascii="Arial" w:hAnsi="Arial" w:cs="Arial"/>
          <w:color w:val="111111"/>
          <w:sz w:val="22"/>
          <w:szCs w:val="22"/>
          <w:shd w:val="clear" w:color="auto" w:fill="FFFFFF"/>
        </w:rPr>
        <w:t xml:space="preserve">, </w:t>
      </w:r>
      <w:hyperlink r:id="rId18" w:history="1">
        <w:r w:rsidRPr="00AA559F">
          <w:rPr>
            <w:rStyle w:val="Hyperlink"/>
            <w:rFonts w:ascii="Arial" w:hAnsi="Arial" w:cs="Arial"/>
            <w:sz w:val="22"/>
            <w:szCs w:val="22"/>
            <w:shd w:val="clear" w:color="auto" w:fill="FFFFFF"/>
          </w:rPr>
          <w:t>Marie Curie</w:t>
        </w:r>
      </w:hyperlink>
      <w:r>
        <w:rPr>
          <w:rFonts w:ascii="Arial" w:hAnsi="Arial" w:cs="Arial"/>
          <w:color w:val="111111"/>
          <w:sz w:val="22"/>
          <w:szCs w:val="22"/>
          <w:shd w:val="clear" w:color="auto" w:fill="FFFFFF"/>
        </w:rPr>
        <w:t xml:space="preserve">, </w:t>
      </w:r>
      <w:hyperlink r:id="rId19" w:history="1">
        <w:r w:rsidRPr="00AA559F">
          <w:rPr>
            <w:rStyle w:val="Hyperlink"/>
            <w:rFonts w:ascii="Arial" w:hAnsi="Arial" w:cs="Arial"/>
            <w:sz w:val="22"/>
            <w:szCs w:val="22"/>
            <w:shd w:val="clear" w:color="auto" w:fill="FFFFFF"/>
          </w:rPr>
          <w:t>Dying Matters</w:t>
        </w:r>
      </w:hyperlink>
      <w:r>
        <w:rPr>
          <w:rFonts w:ascii="Arial" w:hAnsi="Arial" w:cs="Arial"/>
          <w:color w:val="111111"/>
          <w:sz w:val="22"/>
          <w:szCs w:val="22"/>
          <w:shd w:val="clear" w:color="auto" w:fill="FFFFFF"/>
        </w:rPr>
        <w:t xml:space="preserve"> and </w:t>
      </w:r>
      <w:hyperlink r:id="rId20" w:history="1">
        <w:r w:rsidRPr="006A73CD">
          <w:rPr>
            <w:rStyle w:val="Hyperlink"/>
            <w:rFonts w:ascii="Arial" w:hAnsi="Arial" w:cs="Arial"/>
            <w:sz w:val="22"/>
            <w:szCs w:val="22"/>
            <w:shd w:val="clear" w:color="auto" w:fill="FFFFFF"/>
          </w:rPr>
          <w:t>Age UK</w:t>
        </w:r>
      </w:hyperlink>
      <w:r>
        <w:rPr>
          <w:rFonts w:ascii="Arial" w:hAnsi="Arial" w:cs="Arial"/>
          <w:color w:val="111111"/>
          <w:sz w:val="22"/>
          <w:szCs w:val="22"/>
          <w:shd w:val="clear" w:color="auto" w:fill="FFFFFF"/>
        </w:rPr>
        <w:t xml:space="preserve">. </w:t>
      </w:r>
    </w:p>
    <w:p w14:paraId="21E44D5C" w14:textId="1E3A9CA9" w:rsidR="006E422E" w:rsidRPr="0091609E" w:rsidRDefault="006E422E" w:rsidP="006E422E">
      <w:pPr>
        <w:pStyle w:val="Heading1"/>
        <w:keepLines/>
        <w:pBdr>
          <w:bottom w:val="single" w:sz="4" w:space="1" w:color="595959" w:themeColor="text1" w:themeTint="A6"/>
        </w:pBdr>
        <w:spacing w:before="360" w:after="160" w:line="259" w:lineRule="auto"/>
        <w:rPr>
          <w:sz w:val="28"/>
          <w:szCs w:val="28"/>
        </w:rPr>
      </w:pPr>
      <w:bookmarkStart w:id="62" w:name="_Toc184825950"/>
      <w:r w:rsidRPr="0091609E">
        <w:rPr>
          <w:sz w:val="28"/>
          <w:szCs w:val="28"/>
        </w:rPr>
        <w:t xml:space="preserve">Children </w:t>
      </w:r>
      <w:r>
        <w:rPr>
          <w:sz w:val="28"/>
          <w:szCs w:val="28"/>
        </w:rPr>
        <w:t xml:space="preserve">and young persons </w:t>
      </w:r>
      <w:r w:rsidRPr="0091609E">
        <w:rPr>
          <w:sz w:val="28"/>
          <w:szCs w:val="28"/>
        </w:rPr>
        <w:t>under 18 years of age</w:t>
      </w:r>
      <w:bookmarkEnd w:id="62"/>
    </w:p>
    <w:p w14:paraId="4E7896DE" w14:textId="77777777" w:rsidR="006E422E" w:rsidRPr="0016393A" w:rsidRDefault="006E422E" w:rsidP="006E422E">
      <w:pPr>
        <w:pStyle w:val="Heading2"/>
        <w:rPr>
          <w:rFonts w:ascii="Arial" w:hAnsi="Arial" w:cs="Arial"/>
          <w:smallCaps w:val="0"/>
          <w:sz w:val="24"/>
          <w:szCs w:val="24"/>
          <w:lang w:val="en-GB"/>
        </w:rPr>
      </w:pPr>
      <w:bookmarkStart w:id="63" w:name="_Toc184825951"/>
      <w:r>
        <w:rPr>
          <w:rFonts w:ascii="Arial" w:hAnsi="Arial" w:cs="Arial"/>
          <w:smallCaps w:val="0"/>
          <w:sz w:val="24"/>
          <w:szCs w:val="24"/>
          <w:lang w:val="en-GB"/>
        </w:rPr>
        <w:t>Requirements</w:t>
      </w:r>
      <w:bookmarkEnd w:id="63"/>
    </w:p>
    <w:p w14:paraId="03409154" w14:textId="77777777" w:rsidR="006E422E" w:rsidRPr="0091609E" w:rsidRDefault="006E422E" w:rsidP="006E422E">
      <w:pPr>
        <w:rPr>
          <w:rFonts w:ascii="Arial" w:hAnsi="Arial" w:cs="Arial"/>
          <w:sz w:val="22"/>
          <w:szCs w:val="22"/>
          <w:lang w:eastAsia="en-US"/>
        </w:rPr>
      </w:pPr>
    </w:p>
    <w:p w14:paraId="387314B1" w14:textId="4D8F670F" w:rsidR="004D6D92" w:rsidRDefault="003C67D3" w:rsidP="006E422E">
      <w:pPr>
        <w:rPr>
          <w:rFonts w:ascii="Arial" w:hAnsi="Arial" w:cs="Arial"/>
          <w:sz w:val="22"/>
          <w:szCs w:val="22"/>
          <w:lang w:eastAsia="en-US"/>
        </w:rPr>
      </w:pPr>
      <w:r w:rsidRPr="003C67D3">
        <w:rPr>
          <w:rFonts w:ascii="Arial" w:hAnsi="Arial" w:cs="Arial"/>
          <w:sz w:val="22"/>
          <w:szCs w:val="22"/>
        </w:rPr>
        <w:t>The joint guidance</w:t>
      </w:r>
      <w:r>
        <w:t xml:space="preserve"> </w:t>
      </w:r>
      <w:r w:rsidR="00E22715">
        <w:rPr>
          <w:rFonts w:ascii="Arial" w:hAnsi="Arial" w:cs="Arial"/>
          <w:sz w:val="22"/>
          <w:szCs w:val="22"/>
          <w:lang w:eastAsia="en-US"/>
        </w:rPr>
        <w:t>advise</w:t>
      </w:r>
      <w:r>
        <w:rPr>
          <w:rFonts w:ascii="Arial" w:hAnsi="Arial" w:cs="Arial"/>
          <w:sz w:val="22"/>
          <w:szCs w:val="22"/>
          <w:lang w:eastAsia="en-US"/>
        </w:rPr>
        <w:t>s</w:t>
      </w:r>
      <w:r w:rsidR="00E22715">
        <w:rPr>
          <w:rFonts w:ascii="Arial" w:hAnsi="Arial" w:cs="Arial"/>
          <w:sz w:val="22"/>
          <w:szCs w:val="22"/>
          <w:lang w:eastAsia="en-US"/>
        </w:rPr>
        <w:t xml:space="preserve"> that c</w:t>
      </w:r>
      <w:r w:rsidR="006E422E" w:rsidRPr="0091609E">
        <w:rPr>
          <w:rFonts w:ascii="Arial" w:hAnsi="Arial" w:cs="Arial"/>
          <w:sz w:val="22"/>
          <w:szCs w:val="22"/>
          <w:lang w:eastAsia="en-US"/>
        </w:rPr>
        <w:t>linical decisions relating to children and young</w:t>
      </w:r>
      <w:r w:rsidR="006E422E">
        <w:rPr>
          <w:rFonts w:ascii="Arial" w:hAnsi="Arial" w:cs="Arial"/>
          <w:sz w:val="22"/>
          <w:szCs w:val="22"/>
          <w:lang w:eastAsia="en-US"/>
        </w:rPr>
        <w:t xml:space="preserve"> </w:t>
      </w:r>
      <w:r w:rsidR="006E422E" w:rsidRPr="0091609E">
        <w:rPr>
          <w:rFonts w:ascii="Arial" w:hAnsi="Arial" w:cs="Arial"/>
          <w:sz w:val="22"/>
          <w:szCs w:val="22"/>
          <w:lang w:eastAsia="en-US"/>
        </w:rPr>
        <w:t>people should be taken within a supportive partnership</w:t>
      </w:r>
      <w:r w:rsidR="006E422E">
        <w:rPr>
          <w:rFonts w:ascii="Arial" w:hAnsi="Arial" w:cs="Arial"/>
          <w:sz w:val="22"/>
          <w:szCs w:val="22"/>
          <w:lang w:eastAsia="en-US"/>
        </w:rPr>
        <w:t xml:space="preserve"> </w:t>
      </w:r>
      <w:r w:rsidR="006E422E" w:rsidRPr="0091609E">
        <w:rPr>
          <w:rFonts w:ascii="Arial" w:hAnsi="Arial" w:cs="Arial"/>
          <w:sz w:val="22"/>
          <w:szCs w:val="22"/>
          <w:lang w:eastAsia="en-US"/>
        </w:rPr>
        <w:t xml:space="preserve">involving patients, parents </w:t>
      </w:r>
      <w:r w:rsidR="006E422E" w:rsidRPr="0091609E">
        <w:rPr>
          <w:rFonts w:ascii="Arial" w:hAnsi="Arial" w:cs="Arial"/>
          <w:sz w:val="22"/>
          <w:szCs w:val="22"/>
          <w:lang w:eastAsia="en-US"/>
        </w:rPr>
        <w:lastRenderedPageBreak/>
        <w:t>and the healthcare team.</w:t>
      </w:r>
      <w:r w:rsidR="005D31D6">
        <w:rPr>
          <w:rFonts w:ascii="Arial" w:hAnsi="Arial" w:cs="Arial"/>
          <w:sz w:val="22"/>
          <w:szCs w:val="22"/>
          <w:lang w:eastAsia="en-US"/>
        </w:rPr>
        <w:t xml:space="preserve"> D</w:t>
      </w:r>
      <w:r w:rsidR="006E422E" w:rsidRPr="0091609E">
        <w:rPr>
          <w:rFonts w:ascii="Arial" w:hAnsi="Arial" w:cs="Arial"/>
          <w:sz w:val="22"/>
          <w:szCs w:val="22"/>
          <w:lang w:eastAsia="en-US"/>
        </w:rPr>
        <w:t xml:space="preserve">ecisions about CPR must be made </w:t>
      </w:r>
      <w:r w:rsidR="004D6D92" w:rsidRPr="0091609E">
        <w:rPr>
          <w:rFonts w:ascii="Arial" w:hAnsi="Arial" w:cs="Arial"/>
          <w:sz w:val="22"/>
          <w:szCs w:val="22"/>
          <w:lang w:eastAsia="en-US"/>
        </w:rPr>
        <w:t>based on</w:t>
      </w:r>
      <w:r w:rsidR="006E422E" w:rsidRPr="0091609E">
        <w:rPr>
          <w:rFonts w:ascii="Arial" w:hAnsi="Arial" w:cs="Arial"/>
          <w:sz w:val="22"/>
          <w:szCs w:val="22"/>
          <w:lang w:eastAsia="en-US"/>
        </w:rPr>
        <w:t xml:space="preserve"> an individual assessment of each child or young</w:t>
      </w:r>
      <w:r w:rsidR="006E422E">
        <w:rPr>
          <w:rFonts w:ascii="Arial" w:hAnsi="Arial" w:cs="Arial"/>
          <w:sz w:val="22"/>
          <w:szCs w:val="22"/>
          <w:lang w:eastAsia="en-US"/>
        </w:rPr>
        <w:t xml:space="preserve"> </w:t>
      </w:r>
      <w:r w:rsidR="006E422E" w:rsidRPr="0091609E">
        <w:rPr>
          <w:rFonts w:ascii="Arial" w:hAnsi="Arial" w:cs="Arial"/>
          <w:sz w:val="22"/>
          <w:szCs w:val="22"/>
          <w:lang w:eastAsia="en-US"/>
        </w:rPr>
        <w:t xml:space="preserve">person’s current situation. </w:t>
      </w:r>
    </w:p>
    <w:p w14:paraId="74FF7A10" w14:textId="77777777" w:rsidR="006E422E" w:rsidRDefault="006E422E" w:rsidP="006E422E">
      <w:pPr>
        <w:rPr>
          <w:rFonts w:ascii="Arial" w:hAnsi="Arial" w:cs="Arial"/>
          <w:sz w:val="22"/>
          <w:szCs w:val="22"/>
          <w:lang w:eastAsia="en-US"/>
        </w:rPr>
      </w:pPr>
    </w:p>
    <w:p w14:paraId="07FAAC1B" w14:textId="77777777" w:rsidR="006E422E" w:rsidRPr="0091609E" w:rsidRDefault="006E422E" w:rsidP="006E422E">
      <w:pPr>
        <w:rPr>
          <w:rStyle w:val="Hyperlink"/>
          <w:rFonts w:ascii="Arial" w:hAnsi="Arial" w:cs="Arial"/>
          <w:sz w:val="22"/>
          <w:szCs w:val="22"/>
          <w:lang w:eastAsia="en-US"/>
        </w:rPr>
      </w:pPr>
      <w:r w:rsidRPr="0091609E">
        <w:rPr>
          <w:rFonts w:ascii="Arial" w:hAnsi="Arial" w:cs="Arial"/>
          <w:sz w:val="22"/>
          <w:szCs w:val="22"/>
          <w:lang w:eastAsia="en-US"/>
        </w:rPr>
        <w:t>If CPR</w:t>
      </w:r>
      <w:r>
        <w:rPr>
          <w:rFonts w:ascii="Arial" w:hAnsi="Arial" w:cs="Arial"/>
          <w:sz w:val="22"/>
          <w:szCs w:val="22"/>
          <w:lang w:eastAsia="en-US"/>
        </w:rPr>
        <w:t xml:space="preserve"> will not re</w:t>
      </w:r>
      <w:r w:rsidRPr="0091609E">
        <w:rPr>
          <w:rFonts w:ascii="Arial" w:hAnsi="Arial" w:cs="Arial"/>
          <w:sz w:val="22"/>
          <w:szCs w:val="22"/>
          <w:lang w:eastAsia="en-US"/>
        </w:rPr>
        <w:t>start the heart and breathing, it should not be</w:t>
      </w:r>
      <w:r>
        <w:rPr>
          <w:rFonts w:ascii="Arial" w:hAnsi="Arial" w:cs="Arial"/>
          <w:sz w:val="22"/>
          <w:szCs w:val="22"/>
          <w:lang w:eastAsia="en-US"/>
        </w:rPr>
        <w:t xml:space="preserve"> </w:t>
      </w:r>
      <w:r w:rsidRPr="0091609E">
        <w:rPr>
          <w:rFonts w:ascii="Arial" w:hAnsi="Arial" w:cs="Arial"/>
          <w:sz w:val="22"/>
          <w:szCs w:val="22"/>
          <w:lang w:eastAsia="en-US"/>
        </w:rPr>
        <w:t>attempted. Often these decisions are made in the context</w:t>
      </w:r>
      <w:r>
        <w:rPr>
          <w:rFonts w:ascii="Arial" w:hAnsi="Arial" w:cs="Arial"/>
          <w:sz w:val="22"/>
          <w:szCs w:val="22"/>
          <w:lang w:eastAsia="en-US"/>
        </w:rPr>
        <w:t xml:space="preserve"> </w:t>
      </w:r>
      <w:r w:rsidRPr="0091609E">
        <w:rPr>
          <w:rFonts w:ascii="Arial" w:hAnsi="Arial" w:cs="Arial"/>
          <w:sz w:val="22"/>
          <w:szCs w:val="22"/>
          <w:lang w:eastAsia="en-US"/>
        </w:rPr>
        <w:t>of a wider decision-making framework</w:t>
      </w:r>
      <w:r>
        <w:rPr>
          <w:rFonts w:ascii="Arial" w:hAnsi="Arial" w:cs="Arial"/>
          <w:sz w:val="22"/>
          <w:szCs w:val="22"/>
          <w:lang w:eastAsia="en-US"/>
        </w:rPr>
        <w:t>, f</w:t>
      </w:r>
      <w:r w:rsidRPr="0091609E">
        <w:rPr>
          <w:rFonts w:ascii="Arial" w:hAnsi="Arial" w:cs="Arial"/>
          <w:sz w:val="22"/>
          <w:szCs w:val="22"/>
          <w:lang w:eastAsia="en-US"/>
        </w:rPr>
        <w:t>or example, in</w:t>
      </w:r>
      <w:r>
        <w:rPr>
          <w:rFonts w:ascii="Arial" w:hAnsi="Arial" w:cs="Arial"/>
          <w:sz w:val="22"/>
          <w:szCs w:val="22"/>
          <w:lang w:eastAsia="en-US"/>
        </w:rPr>
        <w:t xml:space="preserve"> </w:t>
      </w:r>
      <w:r w:rsidRPr="0091609E">
        <w:rPr>
          <w:rFonts w:ascii="Arial" w:hAnsi="Arial" w:cs="Arial"/>
          <w:sz w:val="22"/>
          <w:szCs w:val="22"/>
          <w:lang w:eastAsia="en-US"/>
        </w:rPr>
        <w:t xml:space="preserve">Scotland as part of the </w:t>
      </w:r>
      <w:r>
        <w:rPr>
          <w:rFonts w:ascii="Arial" w:hAnsi="Arial" w:cs="Arial"/>
          <w:sz w:val="22"/>
          <w:szCs w:val="22"/>
          <w:lang w:eastAsia="en-US"/>
        </w:rPr>
        <w:fldChar w:fldCharType="begin"/>
      </w:r>
      <w:r>
        <w:rPr>
          <w:rFonts w:ascii="Arial" w:hAnsi="Arial" w:cs="Arial"/>
          <w:sz w:val="22"/>
          <w:szCs w:val="22"/>
          <w:lang w:eastAsia="en-US"/>
        </w:rPr>
        <w:instrText xml:space="preserve"> HYPERLINK "https://www.cen.scot.nhs.uk/wp-content/uploads/2017/01/ResucPlanningPolicyCYPADM.pdf" </w:instrText>
      </w:r>
      <w:r>
        <w:rPr>
          <w:rFonts w:ascii="Arial" w:hAnsi="Arial" w:cs="Arial"/>
          <w:sz w:val="22"/>
          <w:szCs w:val="22"/>
          <w:lang w:eastAsia="en-US"/>
        </w:rPr>
      </w:r>
      <w:r>
        <w:rPr>
          <w:rFonts w:ascii="Arial" w:hAnsi="Arial" w:cs="Arial"/>
          <w:sz w:val="22"/>
          <w:szCs w:val="22"/>
          <w:lang w:eastAsia="en-US"/>
        </w:rPr>
        <w:fldChar w:fldCharType="separate"/>
      </w:r>
      <w:r w:rsidRPr="0091609E">
        <w:rPr>
          <w:rStyle w:val="Hyperlink"/>
          <w:rFonts w:ascii="Arial" w:hAnsi="Arial" w:cs="Arial"/>
          <w:sz w:val="22"/>
          <w:szCs w:val="22"/>
          <w:lang w:eastAsia="en-US"/>
        </w:rPr>
        <w:t>Children and Young Persons Acute</w:t>
      </w:r>
    </w:p>
    <w:p w14:paraId="36A937B0" w14:textId="77777777" w:rsidR="006E422E" w:rsidRDefault="006E422E" w:rsidP="006E422E">
      <w:pPr>
        <w:rPr>
          <w:rFonts w:ascii="Arial" w:hAnsi="Arial" w:cs="Arial"/>
          <w:sz w:val="22"/>
          <w:szCs w:val="22"/>
          <w:lang w:eastAsia="en-US"/>
        </w:rPr>
      </w:pPr>
      <w:r w:rsidRPr="0091609E">
        <w:rPr>
          <w:rStyle w:val="Hyperlink"/>
          <w:rFonts w:ascii="Arial" w:hAnsi="Arial" w:cs="Arial"/>
          <w:sz w:val="22"/>
          <w:szCs w:val="22"/>
          <w:lang w:eastAsia="en-US"/>
        </w:rPr>
        <w:t>Deterioration Management (CYPADM) framework</w:t>
      </w:r>
      <w:r>
        <w:rPr>
          <w:rFonts w:ascii="Arial" w:hAnsi="Arial" w:cs="Arial"/>
          <w:sz w:val="22"/>
          <w:szCs w:val="22"/>
          <w:lang w:eastAsia="en-US"/>
        </w:rPr>
        <w:fldChar w:fldCharType="end"/>
      </w:r>
      <w:r w:rsidRPr="0091609E">
        <w:rPr>
          <w:rFonts w:ascii="Arial" w:hAnsi="Arial" w:cs="Arial"/>
          <w:sz w:val="22"/>
          <w:szCs w:val="22"/>
          <w:lang w:eastAsia="en-US"/>
        </w:rPr>
        <w:t>.</w:t>
      </w:r>
    </w:p>
    <w:p w14:paraId="14CA3767" w14:textId="77777777" w:rsidR="006E422E" w:rsidRPr="0091609E" w:rsidRDefault="006E422E" w:rsidP="006E422E">
      <w:pPr>
        <w:rPr>
          <w:rFonts w:ascii="Arial" w:hAnsi="Arial" w:cs="Arial"/>
          <w:sz w:val="22"/>
          <w:szCs w:val="22"/>
          <w:lang w:eastAsia="en-US"/>
        </w:rPr>
      </w:pPr>
    </w:p>
    <w:p w14:paraId="2CBC2371" w14:textId="0A4D4D14" w:rsidR="006E422E" w:rsidRDefault="006E422E" w:rsidP="006E422E">
      <w:pPr>
        <w:rPr>
          <w:rFonts w:ascii="Arial" w:hAnsi="Arial" w:cs="Arial"/>
          <w:sz w:val="22"/>
          <w:szCs w:val="22"/>
          <w:lang w:eastAsia="en-US"/>
        </w:rPr>
      </w:pPr>
      <w:r w:rsidRPr="0091609E">
        <w:rPr>
          <w:rFonts w:ascii="Arial" w:hAnsi="Arial" w:cs="Arial"/>
          <w:sz w:val="22"/>
          <w:szCs w:val="22"/>
          <w:lang w:eastAsia="en-US"/>
        </w:rPr>
        <w:t>As with adults, difficulties can arise whe</w:t>
      </w:r>
      <w:r w:rsidR="00D65671">
        <w:rPr>
          <w:rFonts w:ascii="Arial" w:hAnsi="Arial" w:cs="Arial"/>
          <w:sz w:val="22"/>
          <w:szCs w:val="22"/>
          <w:lang w:eastAsia="en-US"/>
        </w:rPr>
        <w:t>n</w:t>
      </w:r>
      <w:r w:rsidRPr="0091609E">
        <w:rPr>
          <w:rFonts w:ascii="Arial" w:hAnsi="Arial" w:cs="Arial"/>
          <w:sz w:val="22"/>
          <w:szCs w:val="22"/>
          <w:lang w:eastAsia="en-US"/>
        </w:rPr>
        <w:t xml:space="preserve"> CPR may restart</w:t>
      </w:r>
      <w:r>
        <w:rPr>
          <w:rFonts w:ascii="Arial" w:hAnsi="Arial" w:cs="Arial"/>
          <w:sz w:val="22"/>
          <w:szCs w:val="22"/>
          <w:lang w:eastAsia="en-US"/>
        </w:rPr>
        <w:t xml:space="preserve"> </w:t>
      </w:r>
      <w:r w:rsidRPr="0091609E">
        <w:rPr>
          <w:rFonts w:ascii="Arial" w:hAnsi="Arial" w:cs="Arial"/>
          <w:sz w:val="22"/>
          <w:szCs w:val="22"/>
          <w:lang w:eastAsia="en-US"/>
        </w:rPr>
        <w:t>the heart and breathing for a sustained period but there</w:t>
      </w:r>
      <w:r>
        <w:rPr>
          <w:rFonts w:ascii="Arial" w:hAnsi="Arial" w:cs="Arial"/>
          <w:sz w:val="22"/>
          <w:szCs w:val="22"/>
          <w:lang w:eastAsia="en-US"/>
        </w:rPr>
        <w:t xml:space="preserve"> </w:t>
      </w:r>
      <w:r w:rsidRPr="0091609E">
        <w:rPr>
          <w:rFonts w:ascii="Arial" w:hAnsi="Arial" w:cs="Arial"/>
          <w:sz w:val="22"/>
          <w:szCs w:val="22"/>
          <w:lang w:eastAsia="en-US"/>
        </w:rPr>
        <w:t>are doubts about whether the potential benefits outweigh</w:t>
      </w:r>
      <w:r>
        <w:rPr>
          <w:rFonts w:ascii="Arial" w:hAnsi="Arial" w:cs="Arial"/>
          <w:sz w:val="22"/>
          <w:szCs w:val="22"/>
          <w:lang w:eastAsia="en-US"/>
        </w:rPr>
        <w:t xml:space="preserve"> </w:t>
      </w:r>
      <w:r w:rsidRPr="0091609E">
        <w:rPr>
          <w:rFonts w:ascii="Arial" w:hAnsi="Arial" w:cs="Arial"/>
          <w:sz w:val="22"/>
          <w:szCs w:val="22"/>
          <w:lang w:eastAsia="en-US"/>
        </w:rPr>
        <w:t xml:space="preserve">the potential harms and burdens. In these </w:t>
      </w:r>
      <w:r w:rsidRPr="0016393A">
        <w:rPr>
          <w:rFonts w:ascii="Arial" w:hAnsi="Arial" w:cs="Arial"/>
          <w:sz w:val="22"/>
          <w:szCs w:val="22"/>
          <w:lang w:eastAsia="en-US"/>
        </w:rPr>
        <w:t>cases,</w:t>
      </w:r>
      <w:r w:rsidRPr="0091609E">
        <w:rPr>
          <w:rFonts w:ascii="Arial" w:hAnsi="Arial" w:cs="Arial"/>
          <w:sz w:val="22"/>
          <w:szCs w:val="22"/>
          <w:lang w:eastAsia="en-US"/>
        </w:rPr>
        <w:t xml:space="preserve"> the</w:t>
      </w:r>
      <w:r>
        <w:rPr>
          <w:rFonts w:ascii="Arial" w:hAnsi="Arial" w:cs="Arial"/>
          <w:sz w:val="22"/>
          <w:szCs w:val="22"/>
          <w:lang w:eastAsia="en-US"/>
        </w:rPr>
        <w:t xml:space="preserve"> </w:t>
      </w:r>
      <w:r w:rsidRPr="0091609E">
        <w:rPr>
          <w:rFonts w:ascii="Arial" w:hAnsi="Arial" w:cs="Arial"/>
          <w:sz w:val="22"/>
          <w:szCs w:val="22"/>
          <w:lang w:eastAsia="en-US"/>
        </w:rPr>
        <w:t>views of the child or</w:t>
      </w:r>
      <w:r>
        <w:rPr>
          <w:rFonts w:ascii="Arial" w:hAnsi="Arial" w:cs="Arial"/>
          <w:sz w:val="22"/>
          <w:szCs w:val="22"/>
          <w:lang w:eastAsia="en-US"/>
        </w:rPr>
        <w:t xml:space="preserve"> </w:t>
      </w:r>
      <w:r w:rsidRPr="0091609E">
        <w:rPr>
          <w:rFonts w:ascii="Arial" w:hAnsi="Arial" w:cs="Arial"/>
          <w:sz w:val="22"/>
          <w:szCs w:val="22"/>
          <w:lang w:eastAsia="en-US"/>
        </w:rPr>
        <w:t>young person should be taken into</w:t>
      </w:r>
      <w:r>
        <w:rPr>
          <w:rFonts w:ascii="Arial" w:hAnsi="Arial" w:cs="Arial"/>
          <w:sz w:val="22"/>
          <w:szCs w:val="22"/>
          <w:lang w:eastAsia="en-US"/>
        </w:rPr>
        <w:t xml:space="preserve"> </w:t>
      </w:r>
      <w:r w:rsidRPr="0091609E">
        <w:rPr>
          <w:rFonts w:ascii="Arial" w:hAnsi="Arial" w:cs="Arial"/>
          <w:sz w:val="22"/>
          <w:szCs w:val="22"/>
          <w:lang w:eastAsia="en-US"/>
        </w:rPr>
        <w:t xml:space="preserve">consideration, where possible, in deciding </w:t>
      </w:r>
      <w:r w:rsidR="004D6D92" w:rsidRPr="0091609E">
        <w:rPr>
          <w:rFonts w:ascii="Arial" w:hAnsi="Arial" w:cs="Arial"/>
          <w:sz w:val="22"/>
          <w:szCs w:val="22"/>
          <w:lang w:eastAsia="en-US"/>
        </w:rPr>
        <w:t>whether</w:t>
      </w:r>
      <w:r>
        <w:rPr>
          <w:rFonts w:ascii="Arial" w:hAnsi="Arial" w:cs="Arial"/>
          <w:sz w:val="22"/>
          <w:szCs w:val="22"/>
          <w:lang w:eastAsia="en-US"/>
        </w:rPr>
        <w:t xml:space="preserve"> </w:t>
      </w:r>
      <w:r w:rsidRPr="0091609E">
        <w:rPr>
          <w:rFonts w:ascii="Arial" w:hAnsi="Arial" w:cs="Arial"/>
          <w:sz w:val="22"/>
          <w:szCs w:val="22"/>
          <w:lang w:eastAsia="en-US"/>
        </w:rPr>
        <w:t>CPR should be attempted.</w:t>
      </w:r>
    </w:p>
    <w:p w14:paraId="48A8624B" w14:textId="77777777" w:rsidR="006E422E" w:rsidRPr="0091609E" w:rsidRDefault="006E422E" w:rsidP="006E422E">
      <w:pPr>
        <w:pStyle w:val="Heading2"/>
        <w:rPr>
          <w:rFonts w:ascii="Arial" w:hAnsi="Arial" w:cs="Arial"/>
          <w:smallCaps w:val="0"/>
          <w:sz w:val="24"/>
          <w:szCs w:val="24"/>
          <w:lang w:val="en-GB"/>
        </w:rPr>
      </w:pPr>
      <w:bookmarkStart w:id="64" w:name="_Toc184825952"/>
      <w:r>
        <w:rPr>
          <w:rFonts w:ascii="Arial" w:hAnsi="Arial" w:cs="Arial"/>
          <w:smallCaps w:val="0"/>
          <w:sz w:val="24"/>
          <w:szCs w:val="24"/>
          <w:lang w:val="en-GB"/>
        </w:rPr>
        <w:t>L</w:t>
      </w:r>
      <w:r w:rsidRPr="0091609E">
        <w:rPr>
          <w:rFonts w:ascii="Arial" w:hAnsi="Arial" w:cs="Arial"/>
          <w:smallCaps w:val="0"/>
          <w:sz w:val="24"/>
          <w:szCs w:val="24"/>
          <w:lang w:val="en-GB"/>
        </w:rPr>
        <w:t xml:space="preserve">egal </w:t>
      </w:r>
      <w:r>
        <w:rPr>
          <w:rFonts w:ascii="Arial" w:hAnsi="Arial" w:cs="Arial"/>
          <w:smallCaps w:val="0"/>
          <w:sz w:val="24"/>
          <w:szCs w:val="24"/>
          <w:lang w:val="en-GB"/>
        </w:rPr>
        <w:t>considerations</w:t>
      </w:r>
      <w:bookmarkEnd w:id="64"/>
    </w:p>
    <w:p w14:paraId="7ECFB295" w14:textId="77777777" w:rsidR="006E422E" w:rsidRDefault="006E422E" w:rsidP="006E422E">
      <w:pPr>
        <w:rPr>
          <w:rFonts w:ascii="Arial" w:hAnsi="Arial" w:cs="Arial"/>
          <w:sz w:val="22"/>
          <w:szCs w:val="22"/>
          <w:lang w:eastAsia="en-US"/>
        </w:rPr>
      </w:pPr>
    </w:p>
    <w:p w14:paraId="0102E815" w14:textId="522054AD" w:rsidR="006E422E" w:rsidRDefault="006E422E" w:rsidP="006E422E">
      <w:pPr>
        <w:rPr>
          <w:rFonts w:ascii="Arial" w:hAnsi="Arial" w:cs="Arial"/>
          <w:sz w:val="22"/>
          <w:szCs w:val="22"/>
          <w:lang w:eastAsia="en-US"/>
        </w:rPr>
      </w:pPr>
      <w:r w:rsidRPr="0091609E">
        <w:rPr>
          <w:rFonts w:ascii="Arial" w:hAnsi="Arial" w:cs="Arial"/>
          <w:sz w:val="22"/>
          <w:szCs w:val="22"/>
          <w:lang w:eastAsia="en-US"/>
        </w:rPr>
        <w:t>If it is not possible to reach</w:t>
      </w:r>
      <w:r>
        <w:rPr>
          <w:rFonts w:ascii="Arial" w:hAnsi="Arial" w:cs="Arial"/>
          <w:sz w:val="22"/>
          <w:szCs w:val="22"/>
          <w:lang w:eastAsia="en-US"/>
        </w:rPr>
        <w:t xml:space="preserve"> </w:t>
      </w:r>
      <w:r w:rsidRPr="0091609E">
        <w:rPr>
          <w:rFonts w:ascii="Arial" w:hAnsi="Arial" w:cs="Arial"/>
          <w:sz w:val="22"/>
          <w:szCs w:val="22"/>
          <w:lang w:eastAsia="en-US"/>
        </w:rPr>
        <w:t>agreement between the patient, the individuals with</w:t>
      </w:r>
      <w:r>
        <w:rPr>
          <w:rFonts w:ascii="Arial" w:hAnsi="Arial" w:cs="Arial"/>
          <w:sz w:val="22"/>
          <w:szCs w:val="22"/>
          <w:lang w:eastAsia="en-US"/>
        </w:rPr>
        <w:t xml:space="preserve"> </w:t>
      </w:r>
      <w:r w:rsidRPr="0091609E">
        <w:rPr>
          <w:rFonts w:ascii="Arial" w:hAnsi="Arial" w:cs="Arial"/>
          <w:sz w:val="22"/>
          <w:szCs w:val="22"/>
          <w:lang w:eastAsia="en-US"/>
        </w:rPr>
        <w:t>parental responsibility and the healthcare team, legal advice</w:t>
      </w:r>
      <w:r>
        <w:rPr>
          <w:rFonts w:ascii="Arial" w:hAnsi="Arial" w:cs="Arial"/>
          <w:sz w:val="22"/>
          <w:szCs w:val="22"/>
          <w:lang w:eastAsia="en-US"/>
        </w:rPr>
        <w:t xml:space="preserve"> </w:t>
      </w:r>
      <w:r w:rsidRPr="0091609E">
        <w:rPr>
          <w:rFonts w:ascii="Arial" w:hAnsi="Arial" w:cs="Arial"/>
          <w:sz w:val="22"/>
          <w:szCs w:val="22"/>
          <w:lang w:eastAsia="en-US"/>
        </w:rPr>
        <w:t>should</w:t>
      </w:r>
      <w:r>
        <w:rPr>
          <w:rFonts w:ascii="Arial" w:hAnsi="Arial" w:cs="Arial"/>
          <w:sz w:val="22"/>
          <w:szCs w:val="22"/>
          <w:lang w:eastAsia="en-US"/>
        </w:rPr>
        <w:t xml:space="preserve"> </w:t>
      </w:r>
      <w:r w:rsidRPr="0091609E">
        <w:rPr>
          <w:rFonts w:ascii="Arial" w:hAnsi="Arial" w:cs="Arial"/>
          <w:sz w:val="22"/>
          <w:szCs w:val="22"/>
          <w:lang w:eastAsia="en-US"/>
        </w:rPr>
        <w:t xml:space="preserve">be sought. </w:t>
      </w:r>
    </w:p>
    <w:p w14:paraId="57016E48" w14:textId="1B7A2019" w:rsidR="006E422E" w:rsidRDefault="006E422E" w:rsidP="006E422E">
      <w:pPr>
        <w:rPr>
          <w:rFonts w:ascii="Arial" w:hAnsi="Arial" w:cs="Arial"/>
          <w:sz w:val="22"/>
          <w:szCs w:val="22"/>
          <w:lang w:eastAsia="en-US"/>
        </w:rPr>
      </w:pPr>
      <w:r>
        <w:rPr>
          <w:rFonts w:ascii="Arial" w:hAnsi="Arial" w:cs="Arial"/>
          <w:sz w:val="22"/>
          <w:szCs w:val="22"/>
          <w:lang w:eastAsia="en-US"/>
        </w:rPr>
        <w:t xml:space="preserve">Clinicians </w:t>
      </w:r>
      <w:r w:rsidRPr="0091609E">
        <w:rPr>
          <w:rFonts w:ascii="Arial" w:hAnsi="Arial" w:cs="Arial"/>
          <w:sz w:val="22"/>
          <w:szCs w:val="22"/>
          <w:lang w:eastAsia="en-US"/>
        </w:rPr>
        <w:t>cannot be required to provide</w:t>
      </w:r>
      <w:r>
        <w:rPr>
          <w:rFonts w:ascii="Arial" w:hAnsi="Arial" w:cs="Arial"/>
          <w:sz w:val="22"/>
          <w:szCs w:val="22"/>
          <w:lang w:eastAsia="en-US"/>
        </w:rPr>
        <w:t xml:space="preserve"> </w:t>
      </w:r>
      <w:r w:rsidRPr="0091609E">
        <w:rPr>
          <w:rFonts w:ascii="Arial" w:hAnsi="Arial" w:cs="Arial"/>
          <w:sz w:val="22"/>
          <w:szCs w:val="22"/>
          <w:lang w:eastAsia="en-US"/>
        </w:rPr>
        <w:t xml:space="preserve">treatment contrary to their professional judgement </w:t>
      </w:r>
      <w:r>
        <w:rPr>
          <w:rFonts w:ascii="Arial" w:hAnsi="Arial" w:cs="Arial"/>
          <w:sz w:val="22"/>
          <w:szCs w:val="22"/>
          <w:lang w:eastAsia="en-US"/>
        </w:rPr>
        <w:t>although they should</w:t>
      </w:r>
      <w:r w:rsidRPr="0091609E">
        <w:rPr>
          <w:rFonts w:ascii="Arial" w:hAnsi="Arial" w:cs="Arial"/>
          <w:sz w:val="22"/>
          <w:szCs w:val="22"/>
          <w:lang w:eastAsia="en-US"/>
        </w:rPr>
        <w:t xml:space="preserve"> try to accommodate the </w:t>
      </w:r>
      <w:r w:rsidR="00D65671" w:rsidRPr="0091609E">
        <w:rPr>
          <w:rFonts w:ascii="Arial" w:hAnsi="Arial" w:cs="Arial"/>
          <w:sz w:val="22"/>
          <w:szCs w:val="22"/>
          <w:lang w:eastAsia="en-US"/>
        </w:rPr>
        <w:t xml:space="preserve">wishes </w:t>
      </w:r>
      <w:r w:rsidR="00D65671">
        <w:rPr>
          <w:rFonts w:ascii="Arial" w:hAnsi="Arial" w:cs="Arial"/>
          <w:sz w:val="22"/>
          <w:szCs w:val="22"/>
          <w:lang w:eastAsia="en-US"/>
        </w:rPr>
        <w:t xml:space="preserve">of the </w:t>
      </w:r>
      <w:r w:rsidRPr="0091609E">
        <w:rPr>
          <w:rFonts w:ascii="Arial" w:hAnsi="Arial" w:cs="Arial"/>
          <w:sz w:val="22"/>
          <w:szCs w:val="22"/>
          <w:lang w:eastAsia="en-US"/>
        </w:rPr>
        <w:t xml:space="preserve">child and </w:t>
      </w:r>
      <w:r w:rsidR="00D65671">
        <w:rPr>
          <w:rFonts w:ascii="Arial" w:hAnsi="Arial" w:cs="Arial"/>
          <w:sz w:val="22"/>
          <w:szCs w:val="22"/>
          <w:lang w:eastAsia="en-US"/>
        </w:rPr>
        <w:t xml:space="preserve">the </w:t>
      </w:r>
      <w:r w:rsidRPr="0091609E">
        <w:rPr>
          <w:rFonts w:ascii="Arial" w:hAnsi="Arial" w:cs="Arial"/>
          <w:sz w:val="22"/>
          <w:szCs w:val="22"/>
          <w:lang w:eastAsia="en-US"/>
        </w:rPr>
        <w:t>parents</w:t>
      </w:r>
      <w:r>
        <w:rPr>
          <w:rFonts w:ascii="Arial" w:hAnsi="Arial" w:cs="Arial"/>
          <w:sz w:val="22"/>
          <w:szCs w:val="22"/>
          <w:lang w:eastAsia="en-US"/>
        </w:rPr>
        <w:t xml:space="preserve"> </w:t>
      </w:r>
      <w:r w:rsidRPr="0091609E">
        <w:rPr>
          <w:rFonts w:ascii="Arial" w:hAnsi="Arial" w:cs="Arial"/>
          <w:sz w:val="22"/>
          <w:szCs w:val="22"/>
          <w:lang w:eastAsia="en-US"/>
        </w:rPr>
        <w:t>whe</w:t>
      </w:r>
      <w:r w:rsidR="00A90DDD">
        <w:rPr>
          <w:rFonts w:ascii="Arial" w:hAnsi="Arial" w:cs="Arial"/>
          <w:sz w:val="22"/>
          <w:szCs w:val="22"/>
          <w:lang w:eastAsia="en-US"/>
        </w:rPr>
        <w:t>n</w:t>
      </w:r>
      <w:r w:rsidRPr="0091609E">
        <w:rPr>
          <w:rFonts w:ascii="Arial" w:hAnsi="Arial" w:cs="Arial"/>
          <w:sz w:val="22"/>
          <w:szCs w:val="22"/>
          <w:lang w:eastAsia="en-US"/>
        </w:rPr>
        <w:t xml:space="preserve"> there is genuine uncertainty about the young</w:t>
      </w:r>
      <w:r>
        <w:rPr>
          <w:rFonts w:ascii="Arial" w:hAnsi="Arial" w:cs="Arial"/>
          <w:sz w:val="22"/>
          <w:szCs w:val="22"/>
          <w:lang w:eastAsia="en-US"/>
        </w:rPr>
        <w:t xml:space="preserve"> </w:t>
      </w:r>
      <w:r w:rsidRPr="0091609E">
        <w:rPr>
          <w:rFonts w:ascii="Arial" w:hAnsi="Arial" w:cs="Arial"/>
          <w:sz w:val="22"/>
          <w:szCs w:val="22"/>
          <w:lang w:eastAsia="en-US"/>
        </w:rPr>
        <w:t xml:space="preserve">person’s best interests. </w:t>
      </w:r>
    </w:p>
    <w:p w14:paraId="5A3EB3D1" w14:textId="5B95C494" w:rsidR="00E22715" w:rsidRDefault="00E22715" w:rsidP="006E422E">
      <w:pPr>
        <w:rPr>
          <w:rFonts w:ascii="Arial" w:hAnsi="Arial" w:cs="Arial"/>
          <w:sz w:val="22"/>
          <w:szCs w:val="22"/>
          <w:lang w:eastAsia="en-US"/>
        </w:rPr>
      </w:pPr>
    </w:p>
    <w:p w14:paraId="649C339E" w14:textId="240E85EC" w:rsidR="00E22715" w:rsidRDefault="00E22715" w:rsidP="006E422E">
      <w:pPr>
        <w:rPr>
          <w:rFonts w:ascii="Arial" w:hAnsi="Arial" w:cs="Arial"/>
          <w:sz w:val="22"/>
          <w:szCs w:val="22"/>
          <w:lang w:eastAsia="en-US"/>
        </w:rPr>
      </w:pPr>
      <w:r>
        <w:rPr>
          <w:rFonts w:ascii="Arial" w:hAnsi="Arial" w:cs="Arial"/>
          <w:sz w:val="22"/>
          <w:szCs w:val="22"/>
          <w:lang w:eastAsia="en-US"/>
        </w:rPr>
        <w:t xml:space="preserve">As </w:t>
      </w:r>
      <w:r w:rsidR="007E6343">
        <w:rPr>
          <w:rFonts w:ascii="Arial" w:hAnsi="Arial" w:cs="Arial"/>
          <w:sz w:val="22"/>
          <w:szCs w:val="22"/>
          <w:lang w:eastAsia="en-US"/>
        </w:rPr>
        <w:t>detailed in the joint guidance</w:t>
      </w:r>
      <w:r>
        <w:rPr>
          <w:rFonts w:ascii="Arial" w:hAnsi="Arial" w:cs="Arial"/>
          <w:sz w:val="22"/>
          <w:szCs w:val="22"/>
          <w:lang w:eastAsia="en-US"/>
        </w:rPr>
        <w:t>, when a competent young person makes an informed advance refusal of CPR, healthcare professionals should seek legal advice if they believe that CPR would be beneficial. In England, Wales and Northern Ireland, refusal of treatment by competent you</w:t>
      </w:r>
      <w:r w:rsidR="005E6BC0">
        <w:rPr>
          <w:rFonts w:ascii="Arial" w:hAnsi="Arial" w:cs="Arial"/>
          <w:sz w:val="22"/>
          <w:szCs w:val="22"/>
          <w:lang w:eastAsia="en-US"/>
        </w:rPr>
        <w:t>ng</w:t>
      </w:r>
      <w:r>
        <w:rPr>
          <w:rFonts w:ascii="Arial" w:hAnsi="Arial" w:cs="Arial"/>
          <w:sz w:val="22"/>
          <w:szCs w:val="22"/>
          <w:lang w:eastAsia="en-US"/>
        </w:rPr>
        <w:t xml:space="preserve"> people up to the age of 18 is not necessarily binding upon doctors. In Scotland, it is </w:t>
      </w:r>
      <w:r w:rsidR="00DB47E7">
        <w:rPr>
          <w:rFonts w:ascii="Arial" w:hAnsi="Arial" w:cs="Arial"/>
          <w:sz w:val="22"/>
          <w:szCs w:val="22"/>
          <w:lang w:eastAsia="en-US"/>
        </w:rPr>
        <w:t>likely</w:t>
      </w:r>
      <w:r>
        <w:rPr>
          <w:rFonts w:ascii="Arial" w:hAnsi="Arial" w:cs="Arial"/>
          <w:sz w:val="22"/>
          <w:szCs w:val="22"/>
          <w:lang w:eastAsia="en-US"/>
        </w:rPr>
        <w:t xml:space="preserve"> that neither parents or the cour</w:t>
      </w:r>
      <w:r w:rsidR="00D65671">
        <w:rPr>
          <w:rFonts w:ascii="Arial" w:hAnsi="Arial" w:cs="Arial"/>
          <w:sz w:val="22"/>
          <w:szCs w:val="22"/>
          <w:lang w:eastAsia="en-US"/>
        </w:rPr>
        <w:t>t</w:t>
      </w:r>
      <w:r>
        <w:rPr>
          <w:rFonts w:ascii="Arial" w:hAnsi="Arial" w:cs="Arial"/>
          <w:sz w:val="22"/>
          <w:szCs w:val="22"/>
          <w:lang w:eastAsia="en-US"/>
        </w:rPr>
        <w:t xml:space="preserve">s are entitled to override a mentally competent </w:t>
      </w:r>
      <w:r w:rsidR="00DB47E7">
        <w:rPr>
          <w:rFonts w:ascii="Arial" w:hAnsi="Arial" w:cs="Arial"/>
          <w:sz w:val="22"/>
          <w:szCs w:val="22"/>
          <w:lang w:eastAsia="en-US"/>
        </w:rPr>
        <w:t>young</w:t>
      </w:r>
      <w:r>
        <w:rPr>
          <w:rFonts w:ascii="Arial" w:hAnsi="Arial" w:cs="Arial"/>
          <w:sz w:val="22"/>
          <w:szCs w:val="22"/>
          <w:lang w:eastAsia="en-US"/>
        </w:rPr>
        <w:t xml:space="preserve"> person</w:t>
      </w:r>
      <w:r w:rsidR="00D65671">
        <w:rPr>
          <w:rFonts w:ascii="Arial" w:hAnsi="Arial" w:cs="Arial"/>
          <w:sz w:val="22"/>
          <w:szCs w:val="22"/>
          <w:lang w:eastAsia="en-US"/>
        </w:rPr>
        <w:t>’</w:t>
      </w:r>
      <w:r>
        <w:rPr>
          <w:rFonts w:ascii="Arial" w:hAnsi="Arial" w:cs="Arial"/>
          <w:sz w:val="22"/>
          <w:szCs w:val="22"/>
          <w:lang w:eastAsia="en-US"/>
        </w:rPr>
        <w:t xml:space="preserve">s decision but healthcare professionals should seek legal advice as the matter is not beyond doubt.  </w:t>
      </w:r>
    </w:p>
    <w:p w14:paraId="7D0615D7" w14:textId="1B9A13F8" w:rsidR="005D31D6" w:rsidRPr="0091609E" w:rsidRDefault="005D31D6" w:rsidP="005D31D6">
      <w:pPr>
        <w:pStyle w:val="Heading1"/>
        <w:keepLines/>
        <w:pBdr>
          <w:bottom w:val="single" w:sz="4" w:space="1" w:color="595959" w:themeColor="text1" w:themeTint="A6"/>
        </w:pBdr>
        <w:spacing w:before="360" w:after="160" w:line="259" w:lineRule="auto"/>
        <w:rPr>
          <w:sz w:val="28"/>
          <w:szCs w:val="28"/>
        </w:rPr>
      </w:pPr>
      <w:bookmarkStart w:id="65" w:name="_Toc184825953"/>
      <w:r>
        <w:rPr>
          <w:sz w:val="28"/>
          <w:szCs w:val="28"/>
        </w:rPr>
        <w:t>People with a learning disability and/or autism</w:t>
      </w:r>
      <w:bookmarkEnd w:id="65"/>
    </w:p>
    <w:p w14:paraId="6D80D017" w14:textId="2FD68E0B" w:rsidR="005D31D6" w:rsidRDefault="00E32527" w:rsidP="005D31D6">
      <w:pPr>
        <w:pStyle w:val="Heading2"/>
        <w:rPr>
          <w:rFonts w:ascii="Arial" w:hAnsi="Arial" w:cs="Arial"/>
          <w:smallCaps w:val="0"/>
          <w:sz w:val="24"/>
          <w:szCs w:val="24"/>
          <w:lang w:val="en-GB"/>
        </w:rPr>
      </w:pPr>
      <w:bookmarkStart w:id="66" w:name="_Toc184825954"/>
      <w:r>
        <w:rPr>
          <w:rFonts w:ascii="Arial" w:hAnsi="Arial" w:cs="Arial"/>
          <w:smallCaps w:val="0"/>
          <w:sz w:val="24"/>
          <w:szCs w:val="24"/>
          <w:lang w:val="en-GB"/>
        </w:rPr>
        <w:t>Appropriate use of DNACPR decisions</w:t>
      </w:r>
      <w:bookmarkEnd w:id="66"/>
    </w:p>
    <w:p w14:paraId="7F2EDD8E" w14:textId="77777777" w:rsidR="00E32527" w:rsidRDefault="00E32527" w:rsidP="00E32527">
      <w:pPr>
        <w:rPr>
          <w:lang w:eastAsia="en-US"/>
        </w:rPr>
      </w:pPr>
    </w:p>
    <w:p w14:paraId="4A8EADDC" w14:textId="6D36EB3F" w:rsidR="005D31D6" w:rsidRDefault="00E32527" w:rsidP="006E422E">
      <w:pPr>
        <w:rPr>
          <w:rFonts w:ascii="Arial" w:hAnsi="Arial" w:cs="Arial"/>
          <w:sz w:val="22"/>
          <w:szCs w:val="22"/>
          <w:lang w:eastAsia="en-US"/>
        </w:rPr>
      </w:pPr>
      <w:r>
        <w:rPr>
          <w:rFonts w:ascii="Arial" w:hAnsi="Arial" w:cs="Arial"/>
          <w:sz w:val="22"/>
          <w:szCs w:val="22"/>
          <w:lang w:eastAsia="en-US"/>
        </w:rPr>
        <w:t xml:space="preserve">The </w:t>
      </w:r>
      <w:hyperlink r:id="rId21" w:history="1">
        <w:r w:rsidRPr="00BE71AF">
          <w:rPr>
            <w:rStyle w:val="Hyperlink"/>
            <w:rFonts w:ascii="Arial" w:hAnsi="Arial" w:cs="Arial"/>
            <w:sz w:val="22"/>
            <w:szCs w:val="22"/>
            <w:lang w:eastAsia="en-US"/>
          </w:rPr>
          <w:t>NHS</w:t>
        </w:r>
        <w:r w:rsidRPr="00A90DDD">
          <w:rPr>
            <w:rStyle w:val="Hyperlink"/>
            <w:rFonts w:ascii="Arial" w:hAnsi="Arial" w:cs="Arial"/>
            <w:color w:val="auto"/>
            <w:sz w:val="22"/>
            <w:szCs w:val="22"/>
            <w:u w:val="none"/>
            <w:lang w:eastAsia="en-US"/>
          </w:rPr>
          <w:t xml:space="preserve"> is clear</w:t>
        </w:r>
      </w:hyperlink>
      <w:r>
        <w:rPr>
          <w:rFonts w:ascii="Arial" w:hAnsi="Arial" w:cs="Arial"/>
          <w:sz w:val="22"/>
          <w:szCs w:val="22"/>
          <w:lang w:eastAsia="en-US"/>
        </w:rPr>
        <w:t xml:space="preserve"> that it is unacceptable that people have a DNACPR decision on their record simply because they have a learning disability, autism or both. The </w:t>
      </w:r>
      <w:hyperlink r:id="rId22" w:history="1">
        <w:r w:rsidRPr="00E32527">
          <w:rPr>
            <w:rStyle w:val="Hyperlink"/>
            <w:rFonts w:ascii="Arial" w:hAnsi="Arial" w:cs="Arial"/>
            <w:sz w:val="22"/>
            <w:szCs w:val="22"/>
            <w:lang w:eastAsia="en-US"/>
          </w:rPr>
          <w:t>Universal principles for advanced care planning</w:t>
        </w:r>
      </w:hyperlink>
      <w:r>
        <w:rPr>
          <w:rFonts w:ascii="Arial" w:hAnsi="Arial" w:cs="Arial"/>
          <w:sz w:val="22"/>
          <w:szCs w:val="22"/>
          <w:lang w:eastAsia="en-US"/>
        </w:rPr>
        <w:t xml:space="preserve"> should be implemented, ensuring that DNACPR decisions for people with a learning disability and autistic people are appropriate and made on an individual basis and that conversations are reasonably adjusted. </w:t>
      </w:r>
    </w:p>
    <w:p w14:paraId="4758B4E8" w14:textId="3537D944" w:rsidR="0074688A" w:rsidRPr="008F1C80" w:rsidRDefault="0074688A" w:rsidP="0074688A">
      <w:pPr>
        <w:pStyle w:val="Heading1"/>
        <w:keepLines/>
        <w:pBdr>
          <w:bottom w:val="single" w:sz="4" w:space="1" w:color="595959" w:themeColor="text1" w:themeTint="A6"/>
        </w:pBdr>
        <w:spacing w:before="360" w:after="160" w:line="259" w:lineRule="auto"/>
        <w:rPr>
          <w:sz w:val="28"/>
          <w:szCs w:val="28"/>
        </w:rPr>
      </w:pPr>
      <w:bookmarkStart w:id="67" w:name="_Toc184825955"/>
      <w:r>
        <w:rPr>
          <w:sz w:val="28"/>
          <w:szCs w:val="28"/>
        </w:rPr>
        <w:t>Documentation and record keeping</w:t>
      </w:r>
      <w:bookmarkEnd w:id="67"/>
    </w:p>
    <w:p w14:paraId="16C55BFA" w14:textId="6D2FCE91" w:rsidR="00DD02B8" w:rsidRPr="00DD02B8" w:rsidRDefault="00595693" w:rsidP="00DD02B8">
      <w:pPr>
        <w:pStyle w:val="Heading2"/>
        <w:rPr>
          <w:rFonts w:ascii="Arial" w:hAnsi="Arial" w:cs="Arial"/>
          <w:smallCaps w:val="0"/>
          <w:sz w:val="24"/>
          <w:szCs w:val="24"/>
          <w:lang w:val="en-GB"/>
        </w:rPr>
      </w:pPr>
      <w:bookmarkStart w:id="68" w:name="_ADRT"/>
      <w:bookmarkStart w:id="69" w:name="_Toc184825956"/>
      <w:bookmarkEnd w:id="68"/>
      <w:r>
        <w:rPr>
          <w:rFonts w:ascii="Arial" w:hAnsi="Arial" w:cs="Arial"/>
          <w:smallCaps w:val="0"/>
          <w:sz w:val="24"/>
          <w:szCs w:val="24"/>
          <w:lang w:val="en-GB"/>
        </w:rPr>
        <w:t>ADRT</w:t>
      </w:r>
      <w:bookmarkEnd w:id="69"/>
    </w:p>
    <w:p w14:paraId="7FE40B2D" w14:textId="77777777" w:rsidR="00DD02B8" w:rsidRDefault="00DD02B8" w:rsidP="002875A3">
      <w:pPr>
        <w:rPr>
          <w:rFonts w:ascii="Arial" w:hAnsi="Arial" w:cs="Arial"/>
          <w:sz w:val="22"/>
          <w:szCs w:val="22"/>
          <w:shd w:val="clear" w:color="auto" w:fill="FFFFFF"/>
        </w:rPr>
      </w:pPr>
    </w:p>
    <w:p w14:paraId="4889892B" w14:textId="23ABC476" w:rsidR="00EB5F81" w:rsidRDefault="005D31D6" w:rsidP="002875A3">
      <w:pPr>
        <w:rPr>
          <w:rFonts w:ascii="Arial" w:hAnsi="Arial" w:cs="Arial"/>
          <w:sz w:val="22"/>
          <w:szCs w:val="22"/>
          <w:shd w:val="clear" w:color="auto" w:fill="FFFFFF"/>
        </w:rPr>
      </w:pPr>
      <w:r>
        <w:rPr>
          <w:rFonts w:ascii="Arial" w:hAnsi="Arial" w:cs="Arial"/>
          <w:sz w:val="22"/>
          <w:szCs w:val="22"/>
          <w:shd w:val="clear" w:color="auto" w:fill="FFFFFF"/>
        </w:rPr>
        <w:t>S</w:t>
      </w:r>
      <w:r w:rsidR="00595693">
        <w:rPr>
          <w:rFonts w:ascii="Arial" w:hAnsi="Arial" w:cs="Arial"/>
          <w:sz w:val="22"/>
          <w:szCs w:val="22"/>
          <w:shd w:val="clear" w:color="auto" w:fill="FFFFFF"/>
        </w:rPr>
        <w:t>hould a patient</w:t>
      </w:r>
      <w:r w:rsidR="00595693" w:rsidRPr="00595693">
        <w:rPr>
          <w:rFonts w:ascii="Arial" w:hAnsi="Arial" w:cs="Arial"/>
          <w:sz w:val="22"/>
          <w:szCs w:val="22"/>
          <w:shd w:val="clear" w:color="auto" w:fill="FFFFFF"/>
        </w:rPr>
        <w:t xml:space="preserve"> wish to make </w:t>
      </w:r>
      <w:r w:rsidR="00595693">
        <w:rPr>
          <w:rFonts w:ascii="Arial" w:hAnsi="Arial" w:cs="Arial"/>
          <w:sz w:val="22"/>
          <w:szCs w:val="22"/>
          <w:shd w:val="clear" w:color="auto" w:fill="FFFFFF"/>
        </w:rPr>
        <w:t>a</w:t>
      </w:r>
      <w:r w:rsidR="00595693" w:rsidRPr="00595693">
        <w:rPr>
          <w:rFonts w:ascii="Arial" w:hAnsi="Arial" w:cs="Arial"/>
          <w:sz w:val="22"/>
          <w:szCs w:val="22"/>
          <w:shd w:val="clear" w:color="auto" w:fill="FFFFFF"/>
        </w:rPr>
        <w:t xml:space="preserve"> refusal of CPR legally binding for when</w:t>
      </w:r>
      <w:r w:rsidR="005E6BC0">
        <w:rPr>
          <w:rFonts w:ascii="Arial" w:hAnsi="Arial" w:cs="Arial"/>
          <w:sz w:val="22"/>
          <w:szCs w:val="22"/>
          <w:shd w:val="clear" w:color="auto" w:fill="FFFFFF"/>
        </w:rPr>
        <w:t>,</w:t>
      </w:r>
      <w:r w:rsidR="00595693" w:rsidRPr="00595693">
        <w:rPr>
          <w:rFonts w:ascii="Arial" w:hAnsi="Arial" w:cs="Arial"/>
          <w:sz w:val="22"/>
          <w:szCs w:val="22"/>
          <w:shd w:val="clear" w:color="auto" w:fill="FFFFFF"/>
        </w:rPr>
        <w:t xml:space="preserve"> in the future</w:t>
      </w:r>
      <w:r w:rsidR="005E6BC0">
        <w:rPr>
          <w:rFonts w:ascii="Arial" w:hAnsi="Arial" w:cs="Arial"/>
          <w:sz w:val="22"/>
          <w:szCs w:val="22"/>
          <w:shd w:val="clear" w:color="auto" w:fill="FFFFFF"/>
        </w:rPr>
        <w:t>,</w:t>
      </w:r>
      <w:r w:rsidR="00595693" w:rsidRPr="00595693">
        <w:rPr>
          <w:rFonts w:ascii="Arial" w:hAnsi="Arial" w:cs="Arial"/>
          <w:sz w:val="22"/>
          <w:szCs w:val="22"/>
          <w:shd w:val="clear" w:color="auto" w:fill="FFFFFF"/>
        </w:rPr>
        <w:t xml:space="preserve"> </w:t>
      </w:r>
      <w:r w:rsidR="00EB5F81">
        <w:rPr>
          <w:rFonts w:ascii="Arial" w:hAnsi="Arial" w:cs="Arial"/>
          <w:sz w:val="22"/>
          <w:szCs w:val="22"/>
          <w:shd w:val="clear" w:color="auto" w:fill="FFFFFF"/>
        </w:rPr>
        <w:t xml:space="preserve">they may not be able </w:t>
      </w:r>
      <w:r w:rsidR="00595693" w:rsidRPr="00595693">
        <w:rPr>
          <w:rFonts w:ascii="Arial" w:hAnsi="Arial" w:cs="Arial"/>
          <w:sz w:val="22"/>
          <w:szCs w:val="22"/>
          <w:shd w:val="clear" w:color="auto" w:fill="FFFFFF"/>
        </w:rPr>
        <w:t xml:space="preserve">to make this decision, then </w:t>
      </w:r>
      <w:r w:rsidR="00EB5F81">
        <w:rPr>
          <w:rFonts w:ascii="Arial" w:hAnsi="Arial" w:cs="Arial"/>
          <w:sz w:val="22"/>
          <w:szCs w:val="22"/>
          <w:shd w:val="clear" w:color="auto" w:fill="FFFFFF"/>
        </w:rPr>
        <w:t>the patient</w:t>
      </w:r>
      <w:r w:rsidR="00595693" w:rsidRPr="00595693">
        <w:rPr>
          <w:rFonts w:ascii="Arial" w:hAnsi="Arial" w:cs="Arial"/>
          <w:sz w:val="22"/>
          <w:szCs w:val="22"/>
          <w:shd w:val="clear" w:color="auto" w:fill="FFFFFF"/>
        </w:rPr>
        <w:t xml:space="preserve"> should write an </w:t>
      </w:r>
      <w:hyperlink r:id="rId23" w:history="1">
        <w:r w:rsidR="00595693" w:rsidRPr="00EB5F81">
          <w:rPr>
            <w:rStyle w:val="Hyperlink"/>
            <w:rFonts w:ascii="Arial" w:hAnsi="Arial" w:cs="Arial"/>
            <w:sz w:val="22"/>
            <w:szCs w:val="22"/>
            <w:shd w:val="clear" w:color="auto" w:fill="FFFFFF"/>
          </w:rPr>
          <w:t>Advance Decision to Refuse Treatment (ADRT)</w:t>
        </w:r>
      </w:hyperlink>
      <w:r w:rsidR="00A90DDD">
        <w:rPr>
          <w:rStyle w:val="Hyperlink"/>
          <w:rFonts w:ascii="Arial" w:hAnsi="Arial" w:cs="Arial"/>
          <w:color w:val="auto"/>
          <w:sz w:val="22"/>
          <w:szCs w:val="22"/>
          <w:u w:val="none"/>
          <w:shd w:val="clear" w:color="auto" w:fill="FFFFFF"/>
        </w:rPr>
        <w:t>.</w:t>
      </w:r>
      <w:r w:rsidR="00595693" w:rsidRPr="00595693">
        <w:rPr>
          <w:rFonts w:ascii="Arial" w:hAnsi="Arial" w:cs="Arial"/>
          <w:sz w:val="22"/>
          <w:szCs w:val="22"/>
          <w:shd w:val="clear" w:color="auto" w:fill="FFFFFF"/>
        </w:rPr>
        <w:t xml:space="preserve"> </w:t>
      </w:r>
    </w:p>
    <w:p w14:paraId="10A4DAF2" w14:textId="77777777" w:rsidR="00595693" w:rsidRDefault="00595693" w:rsidP="002875A3">
      <w:pPr>
        <w:rPr>
          <w:rFonts w:ascii="Arial" w:hAnsi="Arial" w:cs="Arial"/>
          <w:sz w:val="22"/>
          <w:szCs w:val="22"/>
          <w:shd w:val="clear" w:color="auto" w:fill="FFFFFF"/>
        </w:rPr>
      </w:pPr>
    </w:p>
    <w:p w14:paraId="754A306A" w14:textId="731112B5" w:rsidR="00EB5F81" w:rsidRPr="00EB5F81" w:rsidRDefault="00EB5F81" w:rsidP="00EB5F81">
      <w:pPr>
        <w:rPr>
          <w:rFonts w:ascii="Arial" w:hAnsi="Arial" w:cs="Arial"/>
          <w:sz w:val="22"/>
          <w:szCs w:val="22"/>
          <w:shd w:val="clear" w:color="auto" w:fill="FFFFFF"/>
        </w:rPr>
      </w:pPr>
      <w:r>
        <w:rPr>
          <w:rFonts w:ascii="Arial" w:hAnsi="Arial" w:cs="Arial"/>
          <w:sz w:val="22"/>
          <w:szCs w:val="22"/>
          <w:shd w:val="clear" w:color="auto" w:fill="FFFFFF"/>
        </w:rPr>
        <w:t>Whil</w:t>
      </w:r>
      <w:r w:rsidR="00A90DDD">
        <w:rPr>
          <w:rFonts w:ascii="Arial" w:hAnsi="Arial" w:cs="Arial"/>
          <w:sz w:val="22"/>
          <w:szCs w:val="22"/>
          <w:shd w:val="clear" w:color="auto" w:fill="FFFFFF"/>
        </w:rPr>
        <w:t>e</w:t>
      </w:r>
      <w:r>
        <w:rPr>
          <w:rFonts w:ascii="Arial" w:hAnsi="Arial" w:cs="Arial"/>
          <w:sz w:val="22"/>
          <w:szCs w:val="22"/>
          <w:shd w:val="clear" w:color="auto" w:fill="FFFFFF"/>
        </w:rPr>
        <w:t xml:space="preserve"> the patient has the</w:t>
      </w:r>
      <w:r w:rsidRPr="00EB5F81">
        <w:rPr>
          <w:rFonts w:ascii="Arial" w:hAnsi="Arial" w:cs="Arial"/>
          <w:sz w:val="22"/>
          <w:szCs w:val="22"/>
          <w:shd w:val="clear" w:color="auto" w:fill="FFFFFF"/>
        </w:rPr>
        <w:t xml:space="preserve"> final say</w:t>
      </w:r>
      <w:r>
        <w:rPr>
          <w:rFonts w:ascii="Arial" w:hAnsi="Arial" w:cs="Arial"/>
          <w:sz w:val="22"/>
          <w:szCs w:val="22"/>
          <w:shd w:val="clear" w:color="auto" w:fill="FFFFFF"/>
        </w:rPr>
        <w:t>, they must be advised t</w:t>
      </w:r>
      <w:r w:rsidR="00273297">
        <w:rPr>
          <w:rFonts w:ascii="Arial" w:hAnsi="Arial" w:cs="Arial"/>
          <w:sz w:val="22"/>
          <w:szCs w:val="22"/>
          <w:shd w:val="clear" w:color="auto" w:fill="FFFFFF"/>
        </w:rPr>
        <w:t>hat</w:t>
      </w:r>
      <w:r>
        <w:rPr>
          <w:rFonts w:ascii="Arial" w:hAnsi="Arial" w:cs="Arial"/>
          <w:sz w:val="22"/>
          <w:szCs w:val="22"/>
          <w:shd w:val="clear" w:color="auto" w:fill="FFFFFF"/>
        </w:rPr>
        <w:t xml:space="preserve"> </w:t>
      </w:r>
      <w:r w:rsidRPr="00EB5F81">
        <w:rPr>
          <w:rFonts w:ascii="Arial" w:hAnsi="Arial" w:cs="Arial"/>
          <w:sz w:val="22"/>
          <w:szCs w:val="22"/>
          <w:shd w:val="clear" w:color="auto" w:fill="FFFFFF"/>
        </w:rPr>
        <w:t xml:space="preserve">family, carers or </w:t>
      </w:r>
      <w:r>
        <w:rPr>
          <w:rFonts w:ascii="Arial" w:hAnsi="Arial" w:cs="Arial"/>
          <w:sz w:val="22"/>
          <w:szCs w:val="22"/>
          <w:shd w:val="clear" w:color="auto" w:fill="FFFFFF"/>
        </w:rPr>
        <w:t xml:space="preserve">those </w:t>
      </w:r>
      <w:r w:rsidR="00273297">
        <w:rPr>
          <w:rFonts w:ascii="Arial" w:hAnsi="Arial" w:cs="Arial"/>
          <w:sz w:val="22"/>
          <w:szCs w:val="22"/>
          <w:shd w:val="clear" w:color="auto" w:fill="FFFFFF"/>
        </w:rPr>
        <w:t>who</w:t>
      </w:r>
      <w:r>
        <w:rPr>
          <w:rFonts w:ascii="Arial" w:hAnsi="Arial" w:cs="Arial"/>
          <w:sz w:val="22"/>
          <w:szCs w:val="22"/>
          <w:shd w:val="clear" w:color="auto" w:fill="FFFFFF"/>
        </w:rPr>
        <w:t xml:space="preserve"> provide their </w:t>
      </w:r>
      <w:r w:rsidRPr="00EB5F81">
        <w:rPr>
          <w:rFonts w:ascii="Arial" w:hAnsi="Arial" w:cs="Arial"/>
          <w:sz w:val="22"/>
          <w:szCs w:val="22"/>
          <w:shd w:val="clear" w:color="auto" w:fill="FFFFFF"/>
        </w:rPr>
        <w:t xml:space="preserve">health and social care </w:t>
      </w:r>
      <w:r w:rsidR="00273297">
        <w:rPr>
          <w:rFonts w:ascii="Arial" w:hAnsi="Arial" w:cs="Arial"/>
          <w:sz w:val="22"/>
          <w:szCs w:val="22"/>
          <w:shd w:val="clear" w:color="auto" w:fill="FFFFFF"/>
        </w:rPr>
        <w:t>should be informed about</w:t>
      </w:r>
      <w:r w:rsidRPr="00EB5F81">
        <w:rPr>
          <w:rFonts w:ascii="Arial" w:hAnsi="Arial" w:cs="Arial"/>
          <w:sz w:val="22"/>
          <w:szCs w:val="22"/>
          <w:shd w:val="clear" w:color="auto" w:fill="FFFFFF"/>
        </w:rPr>
        <w:t xml:space="preserve"> </w:t>
      </w:r>
      <w:r w:rsidR="00273297">
        <w:rPr>
          <w:rFonts w:ascii="Arial" w:hAnsi="Arial" w:cs="Arial"/>
          <w:sz w:val="22"/>
          <w:szCs w:val="22"/>
          <w:shd w:val="clear" w:color="auto" w:fill="FFFFFF"/>
        </w:rPr>
        <w:t>any ADRT decision and documentation</w:t>
      </w:r>
      <w:r w:rsidR="00273297" w:rsidRPr="00EB5F81">
        <w:rPr>
          <w:rFonts w:ascii="Arial" w:hAnsi="Arial" w:cs="Arial"/>
          <w:sz w:val="22"/>
          <w:szCs w:val="22"/>
          <w:shd w:val="clear" w:color="auto" w:fill="FFFFFF"/>
        </w:rPr>
        <w:t xml:space="preserve"> </w:t>
      </w:r>
      <w:r w:rsidRPr="00EB5F81">
        <w:rPr>
          <w:rFonts w:ascii="Arial" w:hAnsi="Arial" w:cs="Arial"/>
          <w:sz w:val="22"/>
          <w:szCs w:val="22"/>
          <w:shd w:val="clear" w:color="auto" w:fill="FFFFFF"/>
        </w:rPr>
        <w:t>about the decision</w:t>
      </w:r>
      <w:r>
        <w:rPr>
          <w:rFonts w:ascii="Arial" w:hAnsi="Arial" w:cs="Arial"/>
          <w:sz w:val="22"/>
          <w:szCs w:val="22"/>
          <w:shd w:val="clear" w:color="auto" w:fill="FFFFFF"/>
        </w:rPr>
        <w:t xml:space="preserve"> </w:t>
      </w:r>
      <w:r w:rsidR="007D647C">
        <w:rPr>
          <w:rFonts w:ascii="Arial" w:hAnsi="Arial" w:cs="Arial"/>
          <w:sz w:val="22"/>
          <w:szCs w:val="22"/>
          <w:shd w:val="clear" w:color="auto" w:fill="FFFFFF"/>
        </w:rPr>
        <w:t>and</w:t>
      </w:r>
      <w:r>
        <w:rPr>
          <w:rFonts w:ascii="Arial" w:hAnsi="Arial" w:cs="Arial"/>
          <w:sz w:val="22"/>
          <w:szCs w:val="22"/>
          <w:shd w:val="clear" w:color="auto" w:fill="FFFFFF"/>
        </w:rPr>
        <w:t xml:space="preserve"> where this can be </w:t>
      </w:r>
      <w:r w:rsidR="007D647C">
        <w:rPr>
          <w:rFonts w:ascii="Arial" w:hAnsi="Arial" w:cs="Arial"/>
          <w:sz w:val="22"/>
          <w:szCs w:val="22"/>
          <w:shd w:val="clear" w:color="auto" w:fill="FFFFFF"/>
        </w:rPr>
        <w:t xml:space="preserve">found as </w:t>
      </w:r>
      <w:r w:rsidR="00273297">
        <w:rPr>
          <w:rFonts w:ascii="Arial" w:hAnsi="Arial" w:cs="Arial"/>
          <w:sz w:val="22"/>
          <w:szCs w:val="22"/>
          <w:shd w:val="clear" w:color="auto" w:fill="FFFFFF"/>
        </w:rPr>
        <w:t>t</w:t>
      </w:r>
      <w:r w:rsidR="007D647C">
        <w:rPr>
          <w:rFonts w:ascii="Arial" w:hAnsi="Arial" w:cs="Arial"/>
          <w:sz w:val="22"/>
          <w:szCs w:val="22"/>
          <w:shd w:val="clear" w:color="auto" w:fill="FFFFFF"/>
        </w:rPr>
        <w:t xml:space="preserve">his may be needed </w:t>
      </w:r>
      <w:r w:rsidRPr="00EB5F81">
        <w:rPr>
          <w:rFonts w:ascii="Arial" w:hAnsi="Arial" w:cs="Arial"/>
          <w:sz w:val="22"/>
          <w:szCs w:val="22"/>
          <w:shd w:val="clear" w:color="auto" w:fill="FFFFFF"/>
        </w:rPr>
        <w:t xml:space="preserve">quickly </w:t>
      </w:r>
      <w:r w:rsidR="007D647C">
        <w:rPr>
          <w:rFonts w:ascii="Arial" w:hAnsi="Arial" w:cs="Arial"/>
          <w:sz w:val="22"/>
          <w:szCs w:val="22"/>
          <w:shd w:val="clear" w:color="auto" w:fill="FFFFFF"/>
        </w:rPr>
        <w:t xml:space="preserve">should </w:t>
      </w:r>
      <w:r w:rsidRPr="00EB5F81">
        <w:rPr>
          <w:rFonts w:ascii="Arial" w:hAnsi="Arial" w:cs="Arial"/>
          <w:sz w:val="22"/>
          <w:szCs w:val="22"/>
          <w:shd w:val="clear" w:color="auto" w:fill="FFFFFF"/>
        </w:rPr>
        <w:t xml:space="preserve">emergency treatment </w:t>
      </w:r>
      <w:r w:rsidR="007D647C">
        <w:rPr>
          <w:rFonts w:ascii="Arial" w:hAnsi="Arial" w:cs="Arial"/>
          <w:sz w:val="22"/>
          <w:szCs w:val="22"/>
          <w:shd w:val="clear" w:color="auto" w:fill="FFFFFF"/>
        </w:rPr>
        <w:t>be needed</w:t>
      </w:r>
      <w:r w:rsidR="00273297">
        <w:rPr>
          <w:rFonts w:ascii="Arial" w:hAnsi="Arial" w:cs="Arial"/>
          <w:sz w:val="22"/>
          <w:szCs w:val="22"/>
          <w:shd w:val="clear" w:color="auto" w:fill="FFFFFF"/>
        </w:rPr>
        <w:t xml:space="preserve"> and will enable</w:t>
      </w:r>
      <w:r w:rsidR="007D647C">
        <w:rPr>
          <w:rFonts w:ascii="Arial" w:hAnsi="Arial" w:cs="Arial"/>
          <w:sz w:val="22"/>
          <w:szCs w:val="22"/>
          <w:shd w:val="clear" w:color="auto" w:fill="FFFFFF"/>
        </w:rPr>
        <w:t xml:space="preserve"> </w:t>
      </w:r>
      <w:r w:rsidRPr="00EB5F81">
        <w:rPr>
          <w:rFonts w:ascii="Arial" w:hAnsi="Arial" w:cs="Arial"/>
          <w:sz w:val="22"/>
          <w:szCs w:val="22"/>
          <w:shd w:val="clear" w:color="auto" w:fill="FFFFFF"/>
        </w:rPr>
        <w:t xml:space="preserve">the healthcare professionals </w:t>
      </w:r>
      <w:r w:rsidR="00273297">
        <w:rPr>
          <w:rFonts w:ascii="Arial" w:hAnsi="Arial" w:cs="Arial"/>
          <w:sz w:val="22"/>
          <w:szCs w:val="22"/>
          <w:shd w:val="clear" w:color="auto" w:fill="FFFFFF"/>
        </w:rPr>
        <w:t xml:space="preserve">to </w:t>
      </w:r>
      <w:r w:rsidR="007D647C">
        <w:rPr>
          <w:rFonts w:ascii="Arial" w:hAnsi="Arial" w:cs="Arial"/>
          <w:sz w:val="22"/>
          <w:szCs w:val="22"/>
          <w:shd w:val="clear" w:color="auto" w:fill="FFFFFF"/>
        </w:rPr>
        <w:t xml:space="preserve">understand the patient’s </w:t>
      </w:r>
      <w:r w:rsidRPr="00EB5F81">
        <w:rPr>
          <w:rFonts w:ascii="Arial" w:hAnsi="Arial" w:cs="Arial"/>
          <w:sz w:val="22"/>
          <w:szCs w:val="22"/>
          <w:shd w:val="clear" w:color="auto" w:fill="FFFFFF"/>
        </w:rPr>
        <w:t>wishes.</w:t>
      </w:r>
    </w:p>
    <w:p w14:paraId="451A10D1" w14:textId="368B7D35" w:rsidR="00393490" w:rsidRPr="00393490" w:rsidRDefault="00E30384" w:rsidP="00393490">
      <w:pPr>
        <w:pStyle w:val="Heading2"/>
        <w:rPr>
          <w:rFonts w:ascii="Arial" w:hAnsi="Arial" w:cs="Arial"/>
          <w:smallCaps w:val="0"/>
          <w:sz w:val="24"/>
          <w:szCs w:val="24"/>
          <w:lang w:val="en-GB"/>
        </w:rPr>
      </w:pPr>
      <w:bookmarkStart w:id="70" w:name="_Toc104712042"/>
      <w:bookmarkStart w:id="71" w:name="_Toc104712356"/>
      <w:bookmarkStart w:id="72" w:name="_Toc104712043"/>
      <w:bookmarkStart w:id="73" w:name="_Toc104712357"/>
      <w:bookmarkStart w:id="74" w:name="_Toc104712044"/>
      <w:bookmarkStart w:id="75" w:name="_Toc104712358"/>
      <w:bookmarkStart w:id="76" w:name="_Toc104712045"/>
      <w:bookmarkStart w:id="77" w:name="_Toc104712359"/>
      <w:bookmarkStart w:id="78" w:name="_Toc104712046"/>
      <w:bookmarkStart w:id="79" w:name="_Toc104712360"/>
      <w:bookmarkStart w:id="80" w:name="_Toc104712047"/>
      <w:bookmarkStart w:id="81" w:name="_Toc104712361"/>
      <w:bookmarkStart w:id="82" w:name="_Toc104712048"/>
      <w:bookmarkStart w:id="83" w:name="_Toc104712362"/>
      <w:bookmarkStart w:id="84" w:name="_Toc104712049"/>
      <w:bookmarkStart w:id="85" w:name="_Toc104712363"/>
      <w:bookmarkStart w:id="86" w:name="_Toc104712050"/>
      <w:bookmarkStart w:id="87" w:name="_Toc104712364"/>
      <w:bookmarkStart w:id="88" w:name="_Disposal_of_the"/>
      <w:bookmarkStart w:id="89" w:name="_Toc1848259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ascii="Arial" w:hAnsi="Arial" w:cs="Arial"/>
          <w:smallCaps w:val="0"/>
          <w:sz w:val="24"/>
          <w:szCs w:val="24"/>
          <w:lang w:val="en-GB"/>
        </w:rPr>
        <w:t>Record keeping and communication</w:t>
      </w:r>
      <w:bookmarkEnd w:id="89"/>
    </w:p>
    <w:p w14:paraId="09C2620E" w14:textId="77E5E540" w:rsidR="004D6D92" w:rsidRDefault="00BE71AF" w:rsidP="005E6BC0">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 xml:space="preserve">This organisation </w:t>
      </w:r>
      <w:r w:rsidR="00E30384">
        <w:rPr>
          <w:rFonts w:ascii="Arial" w:hAnsi="Arial" w:cs="Arial"/>
          <w:color w:val="000000" w:themeColor="text1"/>
          <w:sz w:val="22"/>
          <w:szCs w:val="22"/>
        </w:rPr>
        <w:t xml:space="preserve">will </w:t>
      </w:r>
      <w:r>
        <w:rPr>
          <w:rFonts w:ascii="Arial" w:hAnsi="Arial" w:cs="Arial"/>
          <w:color w:val="000000" w:themeColor="text1"/>
          <w:sz w:val="22"/>
          <w:szCs w:val="22"/>
        </w:rPr>
        <w:t>adhere to the Medical Defence Union</w:t>
      </w:r>
      <w:r w:rsidR="00D65671">
        <w:rPr>
          <w:rFonts w:ascii="Arial" w:hAnsi="Arial" w:cs="Arial"/>
          <w:color w:val="000000" w:themeColor="text1"/>
          <w:sz w:val="22"/>
          <w:szCs w:val="22"/>
        </w:rPr>
        <w:t>’s</w:t>
      </w:r>
      <w:r>
        <w:rPr>
          <w:rFonts w:ascii="Arial" w:hAnsi="Arial" w:cs="Arial"/>
          <w:color w:val="000000" w:themeColor="text1"/>
          <w:sz w:val="22"/>
          <w:szCs w:val="22"/>
        </w:rPr>
        <w:t xml:space="preserve"> </w:t>
      </w:r>
      <w:hyperlink r:id="rId24" w:history="1">
        <w:r w:rsidRPr="00E30384">
          <w:rPr>
            <w:rStyle w:val="Hyperlink"/>
            <w:rFonts w:ascii="Arial" w:hAnsi="Arial" w:cs="Arial"/>
            <w:sz w:val="22"/>
            <w:szCs w:val="22"/>
          </w:rPr>
          <w:t>advice and guidance document</w:t>
        </w:r>
      </w:hyperlink>
      <w:r>
        <w:rPr>
          <w:rFonts w:ascii="Arial" w:hAnsi="Arial" w:cs="Arial"/>
          <w:color w:val="000000" w:themeColor="text1"/>
          <w:sz w:val="22"/>
          <w:szCs w:val="22"/>
        </w:rPr>
        <w:t xml:space="preserve"> and retain</w:t>
      </w:r>
      <w:r w:rsidR="00E30384">
        <w:rPr>
          <w:rFonts w:ascii="Arial" w:hAnsi="Arial" w:cs="Arial"/>
          <w:color w:val="000000" w:themeColor="text1"/>
          <w:sz w:val="22"/>
          <w:szCs w:val="22"/>
        </w:rPr>
        <w:t xml:space="preserve"> </w:t>
      </w:r>
      <w:r w:rsidR="00E30384" w:rsidRPr="001A4626">
        <w:rPr>
          <w:rFonts w:ascii="Arial" w:hAnsi="Arial" w:cs="Arial"/>
          <w:color w:val="000000" w:themeColor="text1"/>
          <w:sz w:val="22"/>
          <w:szCs w:val="22"/>
        </w:rPr>
        <w:t xml:space="preserve">full records of conversations with, and decisions agreed with, the patient, their families and representatives that support them to move around the system well. </w:t>
      </w:r>
      <w:r w:rsidR="009A28BF">
        <w:rPr>
          <w:rFonts w:ascii="Arial" w:hAnsi="Arial" w:cs="Arial"/>
          <w:color w:val="000000" w:themeColor="text1"/>
          <w:sz w:val="22"/>
          <w:szCs w:val="22"/>
        </w:rPr>
        <w:t xml:space="preserve">At this organisation, records will be retained in the </w:t>
      </w:r>
      <w:r w:rsidR="00353A3D">
        <w:rPr>
          <w:rFonts w:ascii="Arial" w:hAnsi="Arial" w:cs="Arial"/>
          <w:color w:val="000000" w:themeColor="text1"/>
          <w:sz w:val="22"/>
          <w:szCs w:val="22"/>
        </w:rPr>
        <w:t>individual’s</w:t>
      </w:r>
      <w:r w:rsidR="009A28BF">
        <w:rPr>
          <w:rFonts w:ascii="Arial" w:hAnsi="Arial" w:cs="Arial"/>
          <w:color w:val="000000" w:themeColor="text1"/>
          <w:sz w:val="22"/>
          <w:szCs w:val="22"/>
        </w:rPr>
        <w:t xml:space="preserve"> healthcare record on the clinical system.</w:t>
      </w:r>
    </w:p>
    <w:p w14:paraId="3952042C" w14:textId="4998C95A" w:rsidR="005E6BC0" w:rsidRPr="005E6BC0" w:rsidRDefault="005E6BC0" w:rsidP="005E6BC0">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 xml:space="preserve">The BMA, RCUK and RCN believe that there are clear benefits in having such decisions recorded on standard forms that are compliant with legislation and recognised across geographical and organisational boundaries within the UK. </w:t>
      </w:r>
      <w:r w:rsidR="009A28BF">
        <w:rPr>
          <w:rFonts w:ascii="Arial" w:hAnsi="Arial" w:cs="Arial"/>
          <w:color w:val="000000" w:themeColor="text1"/>
          <w:sz w:val="22"/>
          <w:szCs w:val="22"/>
        </w:rPr>
        <w:t xml:space="preserve">This would mean the forms would be familiar to staff working in the various healthcare settings. </w:t>
      </w:r>
    </w:p>
    <w:p w14:paraId="02A5A062" w14:textId="15B99B0D" w:rsidR="00E30384" w:rsidRPr="00E15864" w:rsidRDefault="001100FD" w:rsidP="00E30384">
      <w:pPr>
        <w:pStyle w:val="Heading2"/>
        <w:rPr>
          <w:rFonts w:ascii="Arial" w:hAnsi="Arial" w:cs="Arial"/>
          <w:smallCaps w:val="0"/>
          <w:sz w:val="24"/>
          <w:szCs w:val="24"/>
          <w:lang w:val="en-GB"/>
        </w:rPr>
      </w:pPr>
      <w:bookmarkStart w:id="90" w:name="_Toc184825958"/>
      <w:r>
        <w:rPr>
          <w:rFonts w:ascii="Arial" w:hAnsi="Arial" w:cs="Arial"/>
          <w:smallCaps w:val="0"/>
          <w:sz w:val="24"/>
          <w:szCs w:val="24"/>
          <w:lang w:val="en-GB"/>
        </w:rPr>
        <w:t>DNACPR across other services</w:t>
      </w:r>
      <w:bookmarkEnd w:id="90"/>
    </w:p>
    <w:p w14:paraId="18C456B1" w14:textId="06B8996D" w:rsidR="00E30384" w:rsidRPr="001A4626" w:rsidRDefault="009A28BF" w:rsidP="00E30384">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 xml:space="preserve">This organisation will follow the </w:t>
      </w:r>
      <w:r w:rsidR="00692B6C" w:rsidRPr="00692B6C">
        <w:rPr>
          <w:rFonts w:ascii="Arial" w:hAnsi="Arial" w:cs="Arial"/>
          <w:sz w:val="22"/>
          <w:szCs w:val="22"/>
        </w:rPr>
        <w:t>joint guidance</w:t>
      </w:r>
      <w:r>
        <w:rPr>
          <w:rFonts w:ascii="Arial" w:hAnsi="Arial" w:cs="Arial"/>
          <w:color w:val="000000" w:themeColor="text1"/>
          <w:sz w:val="22"/>
          <w:szCs w:val="22"/>
        </w:rPr>
        <w:t xml:space="preserve">, in that the healthcare professional responsible for a DNACPR decision is also responsible for ensuring that decision is communicated effectively to other relevant healthcare services. </w:t>
      </w:r>
      <w:r w:rsidR="00E30384" w:rsidRPr="001A4626">
        <w:rPr>
          <w:rFonts w:ascii="Arial" w:hAnsi="Arial" w:cs="Arial"/>
          <w:color w:val="000000" w:themeColor="text1"/>
          <w:sz w:val="22"/>
          <w:szCs w:val="22"/>
        </w:rPr>
        <w:t xml:space="preserve"> </w:t>
      </w:r>
    </w:p>
    <w:p w14:paraId="648DCA71" w14:textId="6E639E2A" w:rsidR="001100FD" w:rsidRDefault="00E30384" w:rsidP="00E30384">
      <w:pPr>
        <w:pStyle w:val="NormalWeb"/>
        <w:shd w:val="clear" w:color="auto" w:fill="FFFFFF"/>
        <w:spacing w:before="320" w:beforeAutospacing="0" w:after="320" w:afterAutospacing="0"/>
        <w:rPr>
          <w:rFonts w:ascii="Arial" w:hAnsi="Arial" w:cs="Arial"/>
          <w:color w:val="000000" w:themeColor="text1"/>
          <w:sz w:val="22"/>
          <w:szCs w:val="22"/>
        </w:rPr>
      </w:pPr>
      <w:hyperlink r:id="rId25" w:history="1">
        <w:r w:rsidRPr="001A4626">
          <w:rPr>
            <w:rStyle w:val="Hyperlink"/>
            <w:rFonts w:ascii="Arial" w:hAnsi="Arial" w:cs="Arial"/>
            <w:sz w:val="22"/>
            <w:szCs w:val="22"/>
          </w:rPr>
          <w:t>GMC guidance</w:t>
        </w:r>
      </w:hyperlink>
      <w:r w:rsidRPr="001A4626">
        <w:rPr>
          <w:rFonts w:ascii="Arial" w:hAnsi="Arial" w:cs="Arial"/>
          <w:color w:val="000000" w:themeColor="text1"/>
          <w:sz w:val="22"/>
          <w:szCs w:val="22"/>
        </w:rPr>
        <w:t> suggests providers make sure that all those consulted, especially those responsible for delivering care, are informed of the decisions</w:t>
      </w:r>
      <w:r w:rsidR="00A90DDD">
        <w:rPr>
          <w:rFonts w:ascii="Arial" w:hAnsi="Arial" w:cs="Arial"/>
          <w:color w:val="000000" w:themeColor="text1"/>
          <w:sz w:val="22"/>
          <w:szCs w:val="22"/>
        </w:rPr>
        <w:t xml:space="preserve"> and that t</w:t>
      </w:r>
      <w:r w:rsidRPr="001A4626">
        <w:rPr>
          <w:rFonts w:ascii="Arial" w:hAnsi="Arial" w:cs="Arial"/>
          <w:color w:val="000000" w:themeColor="text1"/>
          <w:sz w:val="22"/>
          <w:szCs w:val="22"/>
        </w:rPr>
        <w:t xml:space="preserve">hey are clear about the goals and the agreed care plan. </w:t>
      </w:r>
    </w:p>
    <w:p w14:paraId="7F8E0E34" w14:textId="6897BBAE" w:rsidR="00AA6045" w:rsidRDefault="00AA6045" w:rsidP="009544D6">
      <w:pPr>
        <w:pStyle w:val="Heading1"/>
        <w:keepLines/>
        <w:pBdr>
          <w:bottom w:val="single" w:sz="4" w:space="1" w:color="595959" w:themeColor="text1" w:themeTint="A6"/>
        </w:pBdr>
        <w:spacing w:before="360" w:after="160" w:line="259" w:lineRule="auto"/>
        <w:rPr>
          <w:sz w:val="28"/>
          <w:szCs w:val="28"/>
        </w:rPr>
      </w:pPr>
      <w:bookmarkStart w:id="91" w:name="_Toc81819110"/>
      <w:bookmarkStart w:id="92" w:name="_Toc81821802"/>
      <w:bookmarkStart w:id="93" w:name="_Toc81821876"/>
      <w:bookmarkStart w:id="94" w:name="_Toc81821955"/>
      <w:bookmarkStart w:id="95" w:name="_Toc81822279"/>
      <w:bookmarkStart w:id="96" w:name="_Toc81821803"/>
      <w:bookmarkStart w:id="97" w:name="_Toc81821877"/>
      <w:bookmarkStart w:id="98" w:name="_Toc81821956"/>
      <w:bookmarkStart w:id="99" w:name="_Toc81822280"/>
      <w:bookmarkStart w:id="100" w:name="_Toc81821804"/>
      <w:bookmarkStart w:id="101" w:name="_Toc81821878"/>
      <w:bookmarkStart w:id="102" w:name="_Toc81821957"/>
      <w:bookmarkStart w:id="103" w:name="_Toc81822281"/>
      <w:bookmarkStart w:id="104" w:name="_Toc81821805"/>
      <w:bookmarkStart w:id="105" w:name="_Toc81821879"/>
      <w:bookmarkStart w:id="106" w:name="_Toc81821958"/>
      <w:bookmarkStart w:id="107" w:name="_Toc81822282"/>
      <w:bookmarkStart w:id="108" w:name="_Toc71188382"/>
      <w:bookmarkStart w:id="109" w:name="_Toc18482595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sz w:val="28"/>
          <w:szCs w:val="28"/>
        </w:rPr>
        <w:t>Training</w:t>
      </w:r>
      <w:bookmarkEnd w:id="109"/>
      <w:r w:rsidR="001100FD">
        <w:rPr>
          <w:sz w:val="28"/>
          <w:szCs w:val="28"/>
        </w:rPr>
        <w:t xml:space="preserve"> </w:t>
      </w:r>
    </w:p>
    <w:p w14:paraId="2FAE0240" w14:textId="42343646" w:rsidR="00AA6045" w:rsidRDefault="00AA6045" w:rsidP="00AA6045">
      <w:pPr>
        <w:pStyle w:val="Heading2"/>
        <w:rPr>
          <w:rFonts w:ascii="Arial" w:hAnsi="Arial" w:cs="Arial"/>
          <w:smallCaps w:val="0"/>
          <w:sz w:val="24"/>
          <w:szCs w:val="24"/>
          <w:lang w:val="en-GB"/>
        </w:rPr>
      </w:pPr>
      <w:bookmarkStart w:id="110" w:name="_Toc184825960"/>
      <w:r>
        <w:rPr>
          <w:rFonts w:ascii="Arial" w:hAnsi="Arial" w:cs="Arial"/>
          <w:smallCaps w:val="0"/>
          <w:sz w:val="24"/>
          <w:szCs w:val="24"/>
          <w:lang w:val="en-GB"/>
        </w:rPr>
        <w:t>Staff training</w:t>
      </w:r>
      <w:bookmarkEnd w:id="110"/>
    </w:p>
    <w:p w14:paraId="6812F87D" w14:textId="3AD3C42E" w:rsidR="00AA6045" w:rsidRPr="001A4626" w:rsidRDefault="00AA6045" w:rsidP="00FC595E">
      <w:pPr>
        <w:rPr>
          <w:rFonts w:ascii="Arial" w:hAnsi="Arial" w:cs="Arial"/>
          <w:color w:val="000000" w:themeColor="text1"/>
          <w:sz w:val="22"/>
          <w:szCs w:val="22"/>
          <w:lang w:eastAsia="en-US"/>
        </w:rPr>
      </w:pPr>
    </w:p>
    <w:p w14:paraId="37C793C6" w14:textId="70B25C74" w:rsidR="00AA6045" w:rsidRDefault="00994A8A" w:rsidP="001A4626">
      <w:pPr>
        <w:shd w:val="clear" w:color="auto" w:fill="FFFFFF"/>
        <w:rPr>
          <w:rFonts w:ascii="Arial" w:hAnsi="Arial" w:cs="Arial"/>
          <w:color w:val="000000" w:themeColor="text1"/>
          <w:sz w:val="22"/>
          <w:szCs w:val="22"/>
        </w:rPr>
      </w:pPr>
      <w:r>
        <w:rPr>
          <w:rFonts w:ascii="Arial" w:hAnsi="Arial" w:cs="Arial"/>
          <w:color w:val="000000" w:themeColor="text1"/>
          <w:sz w:val="22"/>
          <w:szCs w:val="22"/>
        </w:rPr>
        <w:t xml:space="preserve">This organisation will comply with the </w:t>
      </w:r>
      <w:r w:rsidR="00692B6C" w:rsidRPr="00692B6C">
        <w:rPr>
          <w:rFonts w:ascii="Arial" w:hAnsi="Arial" w:cs="Arial"/>
          <w:sz w:val="22"/>
          <w:szCs w:val="22"/>
        </w:rPr>
        <w:t>joint guidance</w:t>
      </w:r>
      <w:r w:rsidR="00692B6C">
        <w:t xml:space="preserve">, </w:t>
      </w:r>
      <w:r>
        <w:rPr>
          <w:rFonts w:ascii="Arial" w:hAnsi="Arial" w:cs="Arial"/>
          <w:color w:val="000000" w:themeColor="text1"/>
          <w:sz w:val="22"/>
          <w:szCs w:val="22"/>
        </w:rPr>
        <w:t xml:space="preserve">ensuring staff involved in DNACPR decisions are appropriately trained, competent and experienced members of the healthcare team.  </w:t>
      </w:r>
    </w:p>
    <w:p w14:paraId="0363C524" w14:textId="77777777" w:rsidR="00D65671" w:rsidRDefault="00D65671" w:rsidP="001A4626">
      <w:pPr>
        <w:shd w:val="clear" w:color="auto" w:fill="FFFFFF"/>
        <w:rPr>
          <w:rFonts w:ascii="Arial" w:hAnsi="Arial" w:cs="Arial"/>
          <w:color w:val="000000" w:themeColor="text1"/>
          <w:sz w:val="22"/>
          <w:szCs w:val="22"/>
        </w:rPr>
      </w:pPr>
    </w:p>
    <w:p w14:paraId="61851CD5" w14:textId="77777777" w:rsidR="00D65671" w:rsidRDefault="00D65671" w:rsidP="001A4626">
      <w:pPr>
        <w:shd w:val="clear" w:color="auto" w:fill="FFFFFF"/>
        <w:rPr>
          <w:rFonts w:ascii="Arial" w:hAnsi="Arial" w:cs="Arial"/>
          <w:color w:val="000000" w:themeColor="text1"/>
          <w:sz w:val="22"/>
          <w:szCs w:val="22"/>
        </w:rPr>
      </w:pPr>
    </w:p>
    <w:p w14:paraId="5B445454" w14:textId="77777777" w:rsidR="00D65671" w:rsidRDefault="00D65671" w:rsidP="001A4626">
      <w:pPr>
        <w:shd w:val="clear" w:color="auto" w:fill="FFFFFF"/>
        <w:rPr>
          <w:rFonts w:ascii="Arial" w:hAnsi="Arial" w:cs="Arial"/>
          <w:color w:val="000000" w:themeColor="text1"/>
          <w:sz w:val="22"/>
          <w:szCs w:val="22"/>
        </w:rPr>
      </w:pPr>
    </w:p>
    <w:p w14:paraId="00C7770E" w14:textId="77777777" w:rsidR="00D65671" w:rsidRDefault="00D65671" w:rsidP="001A4626">
      <w:pPr>
        <w:shd w:val="clear" w:color="auto" w:fill="FFFFFF"/>
        <w:rPr>
          <w:rFonts w:ascii="Arial" w:hAnsi="Arial" w:cs="Arial"/>
          <w:color w:val="000000" w:themeColor="text1"/>
          <w:sz w:val="22"/>
          <w:szCs w:val="22"/>
        </w:rPr>
      </w:pPr>
    </w:p>
    <w:p w14:paraId="47E92C04" w14:textId="77777777" w:rsidR="00D65671" w:rsidRDefault="00D65671" w:rsidP="001A4626">
      <w:pPr>
        <w:shd w:val="clear" w:color="auto" w:fill="FFFFFF"/>
        <w:rPr>
          <w:rFonts w:ascii="Arial" w:hAnsi="Arial" w:cs="Arial"/>
          <w:color w:val="000000" w:themeColor="text1"/>
          <w:sz w:val="22"/>
          <w:szCs w:val="22"/>
        </w:rPr>
      </w:pPr>
    </w:p>
    <w:p w14:paraId="63DA72F5" w14:textId="4E78FE97" w:rsidR="00994A8A" w:rsidRDefault="00994A8A" w:rsidP="00994A8A">
      <w:pPr>
        <w:tabs>
          <w:tab w:val="left" w:pos="4777"/>
        </w:tabs>
        <w:rPr>
          <w:rFonts w:ascii="Arial" w:hAnsi="Arial" w:cs="Arial"/>
          <w:sz w:val="22"/>
          <w:szCs w:val="22"/>
        </w:rPr>
      </w:pPr>
      <w:r>
        <w:rPr>
          <w:rFonts w:ascii="Arial" w:hAnsi="Arial" w:cs="Arial"/>
          <w:sz w:val="22"/>
          <w:szCs w:val="22"/>
        </w:rPr>
        <w:tab/>
      </w:r>
    </w:p>
    <w:p w14:paraId="1D70E64C" w14:textId="77777777" w:rsidR="00D3186C" w:rsidRDefault="00D3186C" w:rsidP="00994A8A">
      <w:pPr>
        <w:tabs>
          <w:tab w:val="left" w:pos="4777"/>
        </w:tabs>
        <w:rPr>
          <w:rFonts w:ascii="Arial" w:hAnsi="Arial" w:cs="Arial"/>
          <w:sz w:val="22"/>
          <w:szCs w:val="22"/>
        </w:rPr>
      </w:pPr>
    </w:p>
    <w:p w14:paraId="67556437" w14:textId="51F527D2" w:rsidR="00D3186C" w:rsidRDefault="00D3186C" w:rsidP="00D3186C">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11" w:name="_Annex_A_–_1"/>
      <w:bookmarkStart w:id="112" w:name="_Toc184825961"/>
      <w:bookmarkEnd w:id="111"/>
      <w:r>
        <w:rPr>
          <w:sz w:val="28"/>
          <w:szCs w:val="28"/>
        </w:rPr>
        <w:lastRenderedPageBreak/>
        <w:t>Annex A – Additional guidance</w:t>
      </w:r>
      <w:bookmarkEnd w:id="112"/>
      <w:r>
        <w:rPr>
          <w:sz w:val="28"/>
          <w:szCs w:val="28"/>
        </w:rPr>
        <w:t xml:space="preserve"> </w:t>
      </w:r>
    </w:p>
    <w:p w14:paraId="17A18F2F" w14:textId="77777777" w:rsidR="00D3186C" w:rsidRPr="00994A8A" w:rsidRDefault="00D3186C" w:rsidP="00994A8A">
      <w:pPr>
        <w:tabs>
          <w:tab w:val="left" w:pos="4777"/>
        </w:tabs>
        <w:rPr>
          <w:rFonts w:ascii="Arial" w:hAnsi="Arial" w:cs="Arial"/>
          <w:sz w:val="22"/>
          <w:szCs w:val="22"/>
        </w:rPr>
      </w:pPr>
    </w:p>
    <w:p w14:paraId="2E48B42B" w14:textId="54B49665" w:rsidR="00574337" w:rsidRDefault="00254154" w:rsidP="008C2C8F">
      <w:pPr>
        <w:rPr>
          <w:rFonts w:ascii="Arial" w:hAnsi="Arial" w:cs="Arial"/>
          <w:b/>
          <w:bCs/>
          <w:sz w:val="22"/>
          <w:szCs w:val="22"/>
        </w:rPr>
      </w:pPr>
      <w:r>
        <w:rPr>
          <w:rFonts w:ascii="Arial" w:hAnsi="Arial" w:cs="Arial"/>
          <w:b/>
          <w:bCs/>
          <w:sz w:val="22"/>
          <w:szCs w:val="22"/>
        </w:rPr>
        <w:t>England:</w:t>
      </w:r>
    </w:p>
    <w:p w14:paraId="58E57477" w14:textId="77777777" w:rsidR="00254154" w:rsidRDefault="00254154" w:rsidP="008C2C8F">
      <w:pPr>
        <w:rPr>
          <w:rFonts w:ascii="Arial" w:hAnsi="Arial" w:cs="Arial"/>
          <w:b/>
          <w:bCs/>
          <w:sz w:val="22"/>
          <w:szCs w:val="22"/>
        </w:rPr>
      </w:pPr>
    </w:p>
    <w:p w14:paraId="2EA18775" w14:textId="1950A265" w:rsidR="00254154" w:rsidRPr="00254154" w:rsidRDefault="00254154" w:rsidP="00254154">
      <w:pPr>
        <w:pStyle w:val="ListParagraph"/>
        <w:numPr>
          <w:ilvl w:val="0"/>
          <w:numId w:val="46"/>
        </w:numPr>
        <w:rPr>
          <w:rFonts w:ascii="Arial" w:hAnsi="Arial" w:cs="Arial"/>
          <w:smallCaps/>
        </w:rPr>
      </w:pPr>
      <w:hyperlink r:id="rId26" w:history="1">
        <w:r w:rsidRPr="002E0934">
          <w:rPr>
            <w:rStyle w:val="Hyperlink"/>
            <w:rFonts w:ascii="Arial" w:hAnsi="Arial" w:cs="Arial"/>
          </w:rPr>
          <w:t>Mental Capacity Act 2005</w:t>
        </w:r>
      </w:hyperlink>
    </w:p>
    <w:p w14:paraId="0620970B" w14:textId="6D77661D" w:rsidR="00254154" w:rsidRDefault="00254154" w:rsidP="00254154">
      <w:pPr>
        <w:pStyle w:val="ListParagraph"/>
        <w:numPr>
          <w:ilvl w:val="0"/>
          <w:numId w:val="46"/>
        </w:numPr>
        <w:rPr>
          <w:rFonts w:ascii="Arial" w:hAnsi="Arial" w:cs="Arial"/>
        </w:rPr>
      </w:pPr>
      <w:hyperlink r:id="rId27" w:history="1">
        <w:r>
          <w:rPr>
            <w:rStyle w:val="Hyperlink"/>
            <w:rFonts w:ascii="Arial" w:hAnsi="Arial" w:cs="Arial"/>
          </w:rPr>
          <w:t>CQC GP mythbuster 105: Do not attempt cardiopulmonary resuscitation (DNACPR)</w:t>
        </w:r>
      </w:hyperlink>
    </w:p>
    <w:p w14:paraId="5F94A87C" w14:textId="5B948F1D" w:rsidR="002E0934" w:rsidRDefault="002E0934" w:rsidP="00254154">
      <w:pPr>
        <w:pStyle w:val="ListParagraph"/>
        <w:numPr>
          <w:ilvl w:val="0"/>
          <w:numId w:val="46"/>
        </w:numPr>
        <w:rPr>
          <w:rFonts w:ascii="Arial" w:hAnsi="Arial" w:cs="Arial"/>
        </w:rPr>
      </w:pPr>
      <w:hyperlink r:id="rId28" w:history="1">
        <w:r w:rsidRPr="002E0934">
          <w:rPr>
            <w:rStyle w:val="Hyperlink"/>
            <w:rFonts w:ascii="Arial" w:hAnsi="Arial" w:cs="Arial"/>
          </w:rPr>
          <w:t>NHS England DNACPR</w:t>
        </w:r>
      </w:hyperlink>
    </w:p>
    <w:p w14:paraId="479E1BC6" w14:textId="57A0351C" w:rsidR="002E0934" w:rsidRDefault="002E0934" w:rsidP="00254154">
      <w:pPr>
        <w:pStyle w:val="ListParagraph"/>
        <w:numPr>
          <w:ilvl w:val="0"/>
          <w:numId w:val="46"/>
        </w:numPr>
        <w:rPr>
          <w:rFonts w:ascii="Arial" w:hAnsi="Arial" w:cs="Arial"/>
        </w:rPr>
      </w:pPr>
      <w:hyperlink r:id="rId29" w:history="1">
        <w:r w:rsidRPr="002E0934">
          <w:rPr>
            <w:rStyle w:val="Hyperlink"/>
            <w:rFonts w:ascii="Arial" w:hAnsi="Arial" w:cs="Arial"/>
          </w:rPr>
          <w:t>NHS England DNACPR Form</w:t>
        </w:r>
      </w:hyperlink>
    </w:p>
    <w:p w14:paraId="1A5556B5" w14:textId="77777777" w:rsidR="002E0934" w:rsidRDefault="002E0934" w:rsidP="002E0934">
      <w:pPr>
        <w:rPr>
          <w:rFonts w:ascii="Arial" w:hAnsi="Arial" w:cs="Arial"/>
        </w:rPr>
      </w:pPr>
    </w:p>
    <w:p w14:paraId="7E43EEB6" w14:textId="6AAC0261" w:rsidR="002E0934" w:rsidRDefault="002E0934" w:rsidP="002E0934">
      <w:pPr>
        <w:rPr>
          <w:rFonts w:ascii="Arial" w:hAnsi="Arial" w:cs="Arial"/>
          <w:b/>
          <w:bCs/>
          <w:sz w:val="22"/>
          <w:szCs w:val="22"/>
        </w:rPr>
      </w:pPr>
      <w:r w:rsidRPr="002E0934">
        <w:rPr>
          <w:rFonts w:ascii="Arial" w:hAnsi="Arial" w:cs="Arial"/>
          <w:b/>
          <w:bCs/>
          <w:sz w:val="22"/>
          <w:szCs w:val="22"/>
        </w:rPr>
        <w:t>Northern Ireland</w:t>
      </w:r>
      <w:r>
        <w:rPr>
          <w:rFonts w:ascii="Arial" w:hAnsi="Arial" w:cs="Arial"/>
          <w:b/>
          <w:bCs/>
          <w:sz w:val="22"/>
          <w:szCs w:val="22"/>
        </w:rPr>
        <w:t>:</w:t>
      </w:r>
    </w:p>
    <w:p w14:paraId="471E962C" w14:textId="77777777" w:rsidR="002E0934" w:rsidRDefault="002E0934" w:rsidP="002E0934">
      <w:pPr>
        <w:rPr>
          <w:rFonts w:ascii="Arial" w:hAnsi="Arial" w:cs="Arial"/>
          <w:b/>
          <w:bCs/>
          <w:sz w:val="22"/>
          <w:szCs w:val="22"/>
        </w:rPr>
      </w:pPr>
    </w:p>
    <w:p w14:paraId="2C228843" w14:textId="7C9555AF" w:rsidR="002E0934" w:rsidRPr="00645B15" w:rsidRDefault="002E0934" w:rsidP="00645B15">
      <w:pPr>
        <w:pStyle w:val="ListParagraph"/>
        <w:numPr>
          <w:ilvl w:val="0"/>
          <w:numId w:val="47"/>
        </w:numPr>
        <w:rPr>
          <w:rFonts w:ascii="Arial" w:hAnsi="Arial" w:cs="Arial"/>
        </w:rPr>
      </w:pPr>
      <w:hyperlink r:id="rId30" w:history="1">
        <w:r w:rsidRPr="002E0934">
          <w:rPr>
            <w:rStyle w:val="Hyperlink"/>
            <w:rFonts w:ascii="Arial" w:hAnsi="Arial" w:cs="Arial"/>
          </w:rPr>
          <w:t>Mental Capacity Act (Northern Ireland) 2016</w:t>
        </w:r>
      </w:hyperlink>
    </w:p>
    <w:p w14:paraId="492B263A" w14:textId="77777777" w:rsidR="002E0934" w:rsidRDefault="002E0934" w:rsidP="002E0934">
      <w:pPr>
        <w:rPr>
          <w:rFonts w:ascii="Arial" w:hAnsi="Arial" w:cs="Arial"/>
        </w:rPr>
      </w:pPr>
    </w:p>
    <w:p w14:paraId="68907D80" w14:textId="57790103" w:rsidR="002E0934" w:rsidRDefault="002E0934" w:rsidP="002E0934">
      <w:pPr>
        <w:rPr>
          <w:rFonts w:ascii="Arial" w:hAnsi="Arial" w:cs="Arial"/>
          <w:b/>
          <w:bCs/>
          <w:sz w:val="22"/>
          <w:szCs w:val="22"/>
        </w:rPr>
      </w:pPr>
      <w:r w:rsidRPr="002E0934">
        <w:rPr>
          <w:rFonts w:ascii="Arial" w:hAnsi="Arial" w:cs="Arial"/>
          <w:b/>
          <w:bCs/>
          <w:sz w:val="22"/>
          <w:szCs w:val="22"/>
        </w:rPr>
        <w:t>Scotland</w:t>
      </w:r>
      <w:r>
        <w:rPr>
          <w:rFonts w:ascii="Arial" w:hAnsi="Arial" w:cs="Arial"/>
          <w:b/>
          <w:bCs/>
          <w:sz w:val="22"/>
          <w:szCs w:val="22"/>
        </w:rPr>
        <w:t>:</w:t>
      </w:r>
    </w:p>
    <w:p w14:paraId="2EA9777E" w14:textId="77777777" w:rsidR="002E0934" w:rsidRDefault="002E0934" w:rsidP="002E0934">
      <w:pPr>
        <w:rPr>
          <w:rFonts w:ascii="Arial" w:hAnsi="Arial" w:cs="Arial"/>
          <w:b/>
          <w:bCs/>
        </w:rPr>
      </w:pPr>
    </w:p>
    <w:p w14:paraId="35D54D54" w14:textId="6FFE6EC5" w:rsidR="002E0934" w:rsidRPr="002E0934" w:rsidRDefault="002E0934" w:rsidP="002E0934">
      <w:pPr>
        <w:pStyle w:val="ListParagraph"/>
        <w:numPr>
          <w:ilvl w:val="0"/>
          <w:numId w:val="47"/>
        </w:numPr>
        <w:rPr>
          <w:rFonts w:ascii="Arial" w:hAnsi="Arial" w:cs="Arial"/>
        </w:rPr>
      </w:pPr>
      <w:hyperlink r:id="rId31" w:history="1">
        <w:r w:rsidRPr="002E0934">
          <w:rPr>
            <w:rStyle w:val="Hyperlink"/>
            <w:rFonts w:ascii="Arial" w:hAnsi="Arial" w:cs="Arial"/>
          </w:rPr>
          <w:t>Adults with Incapacity (Scotland) Act 2000</w:t>
        </w:r>
      </w:hyperlink>
    </w:p>
    <w:p w14:paraId="32E10EA4" w14:textId="042B31A6" w:rsidR="002E0934" w:rsidRDefault="002E0934" w:rsidP="002E0934">
      <w:pPr>
        <w:pStyle w:val="ListParagraph"/>
        <w:numPr>
          <w:ilvl w:val="0"/>
          <w:numId w:val="47"/>
        </w:numPr>
        <w:rPr>
          <w:rFonts w:ascii="Arial" w:hAnsi="Arial" w:cs="Arial"/>
        </w:rPr>
      </w:pPr>
      <w:hyperlink r:id="rId32" w:history="1">
        <w:r w:rsidRPr="002E0934">
          <w:rPr>
            <w:rStyle w:val="Hyperlink"/>
            <w:rFonts w:ascii="Arial" w:hAnsi="Arial" w:cs="Arial"/>
          </w:rPr>
          <w:t>Mental Health (Care and Treatment) (Scotland) Act 2003</w:t>
        </w:r>
      </w:hyperlink>
    </w:p>
    <w:p w14:paraId="452F5984" w14:textId="77777777" w:rsidR="002E0934" w:rsidRDefault="002E0934" w:rsidP="002E0934">
      <w:pPr>
        <w:rPr>
          <w:rFonts w:ascii="Arial" w:hAnsi="Arial" w:cs="Arial"/>
        </w:rPr>
      </w:pPr>
    </w:p>
    <w:p w14:paraId="00470382" w14:textId="59DEF124" w:rsidR="002E0934" w:rsidRDefault="002E0934" w:rsidP="002E0934">
      <w:pPr>
        <w:rPr>
          <w:rFonts w:ascii="Arial" w:hAnsi="Arial" w:cs="Arial"/>
          <w:b/>
          <w:bCs/>
          <w:sz w:val="22"/>
          <w:szCs w:val="22"/>
        </w:rPr>
      </w:pPr>
      <w:r w:rsidRPr="002E0934">
        <w:rPr>
          <w:rFonts w:ascii="Arial" w:hAnsi="Arial" w:cs="Arial"/>
          <w:b/>
          <w:bCs/>
          <w:sz w:val="22"/>
          <w:szCs w:val="22"/>
        </w:rPr>
        <w:t>Wales:</w:t>
      </w:r>
    </w:p>
    <w:p w14:paraId="1F0DB040" w14:textId="77777777" w:rsidR="002E0934" w:rsidRDefault="002E0934" w:rsidP="002E0934">
      <w:pPr>
        <w:rPr>
          <w:rFonts w:ascii="Arial" w:hAnsi="Arial" w:cs="Arial"/>
          <w:b/>
          <w:bCs/>
          <w:sz w:val="22"/>
          <w:szCs w:val="22"/>
        </w:rPr>
      </w:pPr>
    </w:p>
    <w:p w14:paraId="4BC4EAEF" w14:textId="77777777" w:rsidR="002E0934" w:rsidRPr="00254154" w:rsidRDefault="002E0934" w:rsidP="002E0934">
      <w:pPr>
        <w:pStyle w:val="ListParagraph"/>
        <w:numPr>
          <w:ilvl w:val="0"/>
          <w:numId w:val="48"/>
        </w:numPr>
        <w:rPr>
          <w:rFonts w:ascii="Arial" w:hAnsi="Arial" w:cs="Arial"/>
          <w:smallCaps/>
        </w:rPr>
      </w:pPr>
      <w:hyperlink r:id="rId33" w:history="1">
        <w:r w:rsidRPr="002E0934">
          <w:rPr>
            <w:rStyle w:val="Hyperlink"/>
            <w:rFonts w:ascii="Arial" w:hAnsi="Arial" w:cs="Arial"/>
          </w:rPr>
          <w:t>Mental Capacity Act 2005</w:t>
        </w:r>
      </w:hyperlink>
    </w:p>
    <w:p w14:paraId="3A63FE9E" w14:textId="4ED0459E" w:rsidR="002E0934" w:rsidRDefault="00645B15" w:rsidP="002E0934">
      <w:pPr>
        <w:pStyle w:val="ListParagraph"/>
        <w:numPr>
          <w:ilvl w:val="0"/>
          <w:numId w:val="48"/>
        </w:numPr>
        <w:rPr>
          <w:rFonts w:ascii="Arial" w:hAnsi="Arial" w:cs="Arial"/>
        </w:rPr>
      </w:pPr>
      <w:hyperlink r:id="rId34" w:history="1">
        <w:r w:rsidRPr="00645B15">
          <w:rPr>
            <w:rStyle w:val="Hyperlink"/>
            <w:rFonts w:ascii="Arial" w:hAnsi="Arial" w:cs="Arial"/>
          </w:rPr>
          <w:t>A clinical policy for DNACPR for adults in Wales (Version 5)</w:t>
        </w:r>
      </w:hyperlink>
    </w:p>
    <w:p w14:paraId="19433E78" w14:textId="77777777" w:rsidR="00645B15" w:rsidRDefault="00645B15" w:rsidP="00645B15">
      <w:pPr>
        <w:rPr>
          <w:rFonts w:ascii="Arial" w:hAnsi="Arial" w:cs="Arial"/>
        </w:rPr>
      </w:pPr>
    </w:p>
    <w:p w14:paraId="502AA4A9" w14:textId="6DDF8483" w:rsidR="00645B15" w:rsidRDefault="00645B15" w:rsidP="00645B15">
      <w:pPr>
        <w:rPr>
          <w:rFonts w:ascii="Arial" w:hAnsi="Arial" w:cs="Arial"/>
          <w:b/>
          <w:bCs/>
          <w:sz w:val="22"/>
          <w:szCs w:val="22"/>
        </w:rPr>
      </w:pPr>
      <w:r w:rsidRPr="00645B15">
        <w:rPr>
          <w:rFonts w:ascii="Arial" w:hAnsi="Arial" w:cs="Arial"/>
          <w:b/>
          <w:bCs/>
          <w:sz w:val="22"/>
          <w:szCs w:val="22"/>
        </w:rPr>
        <w:t>Joint guidance:</w:t>
      </w:r>
    </w:p>
    <w:p w14:paraId="401B741F" w14:textId="77777777" w:rsidR="00645B15" w:rsidRDefault="00645B15" w:rsidP="00645B15">
      <w:pPr>
        <w:rPr>
          <w:rFonts w:ascii="Arial" w:hAnsi="Arial" w:cs="Arial"/>
          <w:b/>
          <w:bCs/>
          <w:sz w:val="22"/>
          <w:szCs w:val="22"/>
        </w:rPr>
      </w:pPr>
    </w:p>
    <w:p w14:paraId="4F2D0151" w14:textId="77777777" w:rsidR="0016433C" w:rsidRPr="00172DBE" w:rsidRDefault="0016433C" w:rsidP="0016433C">
      <w:pPr>
        <w:pStyle w:val="ListParagraph"/>
        <w:numPr>
          <w:ilvl w:val="0"/>
          <w:numId w:val="49"/>
        </w:numPr>
        <w:rPr>
          <w:rFonts w:ascii="Arial" w:hAnsi="Arial" w:cs="Arial"/>
        </w:rPr>
      </w:pPr>
      <w:r w:rsidRPr="00835C49">
        <w:rPr>
          <w:rFonts w:ascii="Arial" w:hAnsi="Arial" w:cs="Arial"/>
        </w:rPr>
        <w:t xml:space="preserve">BMA </w:t>
      </w:r>
      <w:hyperlink r:id="rId35" w:history="1">
        <w:r w:rsidRPr="00835C49">
          <w:rPr>
            <w:rStyle w:val="Hyperlink"/>
            <w:rFonts w:ascii="Arial" w:hAnsi="Arial" w:cs="Arial"/>
          </w:rPr>
          <w:t>Ethics</w:t>
        </w:r>
      </w:hyperlink>
      <w:r w:rsidRPr="00835C49">
        <w:rPr>
          <w:rFonts w:ascii="Arial" w:hAnsi="Arial" w:cs="Arial"/>
        </w:rPr>
        <w:t xml:space="preserve"> guidance</w:t>
      </w:r>
    </w:p>
    <w:p w14:paraId="2D55C6B1" w14:textId="08AC3CEE" w:rsidR="00645B15" w:rsidRPr="0016433C" w:rsidRDefault="0016433C" w:rsidP="00645B15">
      <w:pPr>
        <w:pStyle w:val="ListParagraph"/>
        <w:numPr>
          <w:ilvl w:val="0"/>
          <w:numId w:val="49"/>
        </w:numPr>
        <w:rPr>
          <w:rFonts w:ascii="Arial" w:hAnsi="Arial" w:cs="Arial"/>
        </w:rPr>
      </w:pPr>
      <w:hyperlink r:id="rId36" w:history="1">
        <w:r w:rsidRPr="0016433C">
          <w:rPr>
            <w:rStyle w:val="Hyperlink"/>
            <w:rFonts w:ascii="Arial" w:hAnsi="Arial" w:cs="Arial"/>
          </w:rPr>
          <w:t>NICE guideline [NG108] Decision-making and mental capacity</w:t>
        </w:r>
      </w:hyperlink>
    </w:p>
    <w:p w14:paraId="0EE4CC47" w14:textId="77777777" w:rsidR="00645B15" w:rsidRDefault="00645B15" w:rsidP="00645B15">
      <w:pPr>
        <w:rPr>
          <w:rFonts w:ascii="Arial" w:hAnsi="Arial" w:cs="Arial"/>
          <w:b/>
          <w:bCs/>
        </w:rPr>
      </w:pPr>
    </w:p>
    <w:p w14:paraId="28FB8F57" w14:textId="77777777" w:rsidR="00645B15" w:rsidRPr="00645B15" w:rsidRDefault="00645B15" w:rsidP="00645B15">
      <w:pPr>
        <w:rPr>
          <w:rFonts w:ascii="Arial" w:hAnsi="Arial" w:cs="Arial"/>
          <w:b/>
          <w:bCs/>
        </w:rPr>
      </w:pPr>
    </w:p>
    <w:p w14:paraId="3B44C5A2" w14:textId="643B01E8" w:rsidR="005549E6" w:rsidRPr="00574337" w:rsidRDefault="005549E6" w:rsidP="005549E6">
      <w:pPr>
        <w:pStyle w:val="Heading1"/>
        <w:keepLines/>
        <w:numPr>
          <w:ilvl w:val="0"/>
          <w:numId w:val="0"/>
        </w:numPr>
        <w:pBdr>
          <w:bottom w:val="single" w:sz="4" w:space="1" w:color="595959" w:themeColor="text1" w:themeTint="A6"/>
        </w:pBdr>
        <w:spacing w:before="360" w:after="160" w:line="259" w:lineRule="auto"/>
        <w:rPr>
          <w:sz w:val="28"/>
          <w:szCs w:val="28"/>
        </w:rPr>
      </w:pPr>
      <w:bookmarkStart w:id="113" w:name="_Annex_A_–"/>
      <w:bookmarkStart w:id="114" w:name="_Annex_B_–_1"/>
      <w:bookmarkStart w:id="115" w:name="_Annex_B_–"/>
      <w:bookmarkStart w:id="116" w:name="_Annex_C_–"/>
      <w:bookmarkStart w:id="117" w:name="_Toc184825962"/>
      <w:bookmarkEnd w:id="113"/>
      <w:bookmarkEnd w:id="114"/>
      <w:bookmarkEnd w:id="115"/>
      <w:bookmarkEnd w:id="116"/>
      <w:r>
        <w:rPr>
          <w:sz w:val="28"/>
          <w:szCs w:val="28"/>
        </w:rPr>
        <w:lastRenderedPageBreak/>
        <w:t xml:space="preserve">Annex </w:t>
      </w:r>
      <w:r w:rsidR="00D3186C">
        <w:rPr>
          <w:sz w:val="28"/>
          <w:szCs w:val="28"/>
        </w:rPr>
        <w:t>B</w:t>
      </w:r>
      <w:r>
        <w:rPr>
          <w:sz w:val="28"/>
          <w:szCs w:val="28"/>
        </w:rPr>
        <w:t xml:space="preserve"> – RCUK decision-making framework</w:t>
      </w:r>
      <w:bookmarkEnd w:id="117"/>
    </w:p>
    <w:p w14:paraId="0E4A7E32" w14:textId="38D7715A" w:rsidR="00987CBC" w:rsidRPr="00537E42" w:rsidRDefault="005549E6" w:rsidP="00574337">
      <w:pPr>
        <w:rPr>
          <w:rFonts w:ascii="Arial" w:hAnsi="Arial" w:cs="Arial"/>
          <w:b/>
          <w:bCs/>
        </w:rPr>
      </w:pPr>
      <w:r>
        <w:rPr>
          <w:rFonts w:ascii="Arial" w:hAnsi="Arial" w:cs="Arial"/>
          <w:b/>
          <w:bCs/>
          <w:noProof/>
        </w:rPr>
        <w:drawing>
          <wp:inline distT="0" distB="0" distL="0" distR="0" wp14:anchorId="0A62A9BE" wp14:editId="67911A38">
            <wp:extent cx="5459239" cy="8049418"/>
            <wp:effectExtent l="0" t="0" r="1905" b="2540"/>
            <wp:docPr id="1956099602" name="Picture 1" descr="A diagram of a patient's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99602" name="Picture 1" descr="A diagram of a patient's procedure&#10;&#10;Description automatically generated"/>
                    <pic:cNvPicPr/>
                  </pic:nvPicPr>
                  <pic:blipFill>
                    <a:blip r:embed="rId37"/>
                    <a:stretch>
                      <a:fillRect/>
                    </a:stretch>
                  </pic:blipFill>
                  <pic:spPr>
                    <a:xfrm>
                      <a:off x="0" y="0"/>
                      <a:ext cx="5471633" cy="8067693"/>
                    </a:xfrm>
                    <a:prstGeom prst="rect">
                      <a:avLst/>
                    </a:prstGeom>
                  </pic:spPr>
                </pic:pic>
              </a:graphicData>
            </a:graphic>
          </wp:inline>
        </w:drawing>
      </w:r>
    </w:p>
    <w:sectPr w:rsidR="00987CBC" w:rsidRPr="00537E42" w:rsidSect="00AA7F26">
      <w:headerReference w:type="default" r:id="rId38"/>
      <w:footerReference w:type="default" r:id="rId39"/>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1E7C" w14:textId="77777777" w:rsidR="00191BC0" w:rsidRDefault="00191BC0" w:rsidP="00D85E4D">
      <w:r>
        <w:separator/>
      </w:r>
    </w:p>
  </w:endnote>
  <w:endnote w:type="continuationSeparator" w:id="0">
    <w:p w14:paraId="2FEE0716" w14:textId="77777777" w:rsidR="00191BC0" w:rsidRDefault="00191BC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CC1" w14:textId="77777777" w:rsidR="001A4626" w:rsidRDefault="001A4626" w:rsidP="00AA7F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530E6D" w14:textId="77777777" w:rsidR="001A4626" w:rsidRDefault="001A4626" w:rsidP="00E673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3846505"/>
      <w:docPartObj>
        <w:docPartGallery w:val="Page Numbers (Bottom of Page)"/>
        <w:docPartUnique/>
      </w:docPartObj>
    </w:sdtPr>
    <w:sdtContent>
      <w:p w14:paraId="73B54B0F" w14:textId="4A4C35CF" w:rsidR="00AA7F26" w:rsidRDefault="00AA7F26" w:rsidP="00420D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7C0C4F" w14:textId="77777777" w:rsidR="001A4626" w:rsidRDefault="001A4626" w:rsidP="00E673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3836253"/>
      <w:docPartObj>
        <w:docPartGallery w:val="Page Numbers (Bottom of Page)"/>
        <w:docPartUnique/>
      </w:docPartObj>
    </w:sdtPr>
    <w:sdtContent>
      <w:p w14:paraId="0EEAF00D" w14:textId="3C11D990" w:rsidR="00AA7F26" w:rsidRDefault="00AA7F26" w:rsidP="00420D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4223D7" w14:textId="19FDD441" w:rsidR="001A4626" w:rsidRDefault="001A4626" w:rsidP="00AA7F26">
    <w:pPr>
      <w:pStyle w:val="Footer"/>
      <w:ind w:right="360"/>
      <w:jc w:val="right"/>
    </w:pPr>
  </w:p>
  <w:p w14:paraId="143EDBEE" w14:textId="1F412C03" w:rsidR="001A4626" w:rsidRDefault="001A4626" w:rsidP="003E72F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B674" w14:textId="77777777" w:rsidR="00191BC0" w:rsidRDefault="00191BC0" w:rsidP="00D85E4D">
      <w:r>
        <w:separator/>
      </w:r>
    </w:p>
  </w:footnote>
  <w:footnote w:type="continuationSeparator" w:id="0">
    <w:p w14:paraId="50317F84" w14:textId="77777777" w:rsidR="00191BC0" w:rsidRDefault="00191BC0"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07C6" w14:textId="06269D0E" w:rsidR="001A4626" w:rsidRDefault="001A4626" w:rsidP="00E673E9">
    <w:pPr>
      <w:pStyle w:val="Header"/>
      <w:jc w:val="center"/>
    </w:pPr>
  </w:p>
  <w:p w14:paraId="028EBA34" w14:textId="77777777" w:rsidR="009E3E21" w:rsidRDefault="009E3E21" w:rsidP="009E3E21">
    <w:pPr>
      <w:jc w:val="center"/>
      <w:rPr>
        <w:rFonts w:ascii="Tahoma" w:hAnsi="Tahoma" w:cs="Tahoma"/>
        <w:b/>
      </w:rPr>
    </w:pPr>
    <w:bookmarkStart w:id="0" w:name="_Hlk120520081"/>
    <w:r>
      <w:rPr>
        <w:rFonts w:ascii="Tahoma" w:hAnsi="Tahoma" w:cs="Tahoma"/>
        <w:b/>
      </w:rPr>
      <w:t>SHEERWATER HEALTH CENTRE</w:t>
    </w:r>
  </w:p>
  <w:bookmarkEnd w:id="0"/>
  <w:p w14:paraId="2FEC0F72" w14:textId="77777777" w:rsidR="001A4626" w:rsidRDefault="001A4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6E22038C" w:rsidR="001A4626" w:rsidRDefault="001A4626" w:rsidP="00675084">
    <w:pPr>
      <w:pStyle w:val="Header"/>
      <w:jc w:val="center"/>
    </w:pPr>
    <w:r>
      <w:rPr>
        <w:noProof/>
        <w:lang w:eastAsia="en-GB"/>
      </w:rPr>
      <w:drawing>
        <wp:inline distT="0" distB="0" distL="0" distR="0" wp14:anchorId="7667702E" wp14:editId="24BE3207">
          <wp:extent cx="2648685" cy="518815"/>
          <wp:effectExtent l="0" t="0" r="0" b="0"/>
          <wp:docPr id="2" name="Picture 2" descr="C:\Users\Brookfield\Downloads\logo-PLUS (no tag)-01 (1)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0073" cy="524963"/>
                  </a:xfrm>
                  <a:prstGeom prst="rect">
                    <a:avLst/>
                  </a:prstGeom>
                  <a:noFill/>
                  <a:ln>
                    <a:noFill/>
                  </a:ln>
                </pic:spPr>
              </pic:pic>
            </a:graphicData>
          </a:graphic>
        </wp:inline>
      </w:drawing>
    </w:r>
  </w:p>
  <w:p w14:paraId="1BCEE1F6" w14:textId="0FF963D7" w:rsidR="001A4626" w:rsidRDefault="001A4626" w:rsidP="00675084">
    <w:pPr>
      <w:pStyle w:val="Header"/>
      <w:jc w:val="center"/>
    </w:pPr>
    <w:hyperlink r:id="rId2" w:history="1">
      <w:r w:rsidRPr="004208C5">
        <w:rPr>
          <w:rStyle w:val="Hyperlink"/>
        </w:rPr>
        <w:t>www.practiceindex.co.uk</w:t>
      </w:r>
    </w:hyperlink>
  </w:p>
  <w:p w14:paraId="500998FC" w14:textId="77777777" w:rsidR="001A4626" w:rsidRPr="00675084" w:rsidRDefault="001A4626"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520"/>
    <w:multiLevelType w:val="hybridMultilevel"/>
    <w:tmpl w:val="938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A5249"/>
    <w:multiLevelType w:val="multilevel"/>
    <w:tmpl w:val="10A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4718A"/>
    <w:multiLevelType w:val="hybridMultilevel"/>
    <w:tmpl w:val="372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34BB1"/>
    <w:multiLevelType w:val="hybridMultilevel"/>
    <w:tmpl w:val="1A86D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A32030"/>
    <w:multiLevelType w:val="multilevel"/>
    <w:tmpl w:val="E75EAACA"/>
    <w:lvl w:ilvl="0">
      <w:start w:val="1"/>
      <w:numFmt w:val="bullet"/>
      <w:lvlText w:val=""/>
      <w:lvlJc w:val="left"/>
      <w:pPr>
        <w:tabs>
          <w:tab w:val="num" w:pos="720"/>
        </w:tabs>
        <w:ind w:left="720" w:hanging="360"/>
      </w:pPr>
      <w:rPr>
        <w:rFonts w:ascii="Symbol" w:hAnsi="Symbol"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2351E"/>
    <w:multiLevelType w:val="multilevel"/>
    <w:tmpl w:val="EEB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2571F"/>
    <w:multiLevelType w:val="multilevel"/>
    <w:tmpl w:val="FBB2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870C1"/>
    <w:multiLevelType w:val="hybridMultilevel"/>
    <w:tmpl w:val="D80C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4571"/>
    <w:multiLevelType w:val="hybridMultilevel"/>
    <w:tmpl w:val="740A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C18D1"/>
    <w:multiLevelType w:val="hybridMultilevel"/>
    <w:tmpl w:val="62AE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314D2"/>
    <w:multiLevelType w:val="multilevel"/>
    <w:tmpl w:val="C890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E036E"/>
    <w:multiLevelType w:val="hybridMultilevel"/>
    <w:tmpl w:val="A36A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1688C"/>
    <w:multiLevelType w:val="hybridMultilevel"/>
    <w:tmpl w:val="4342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2247E"/>
    <w:multiLevelType w:val="hybridMultilevel"/>
    <w:tmpl w:val="4672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81EAF"/>
    <w:multiLevelType w:val="hybridMultilevel"/>
    <w:tmpl w:val="E5C8CFEC"/>
    <w:lvl w:ilvl="0" w:tplc="103C14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86639"/>
    <w:multiLevelType w:val="hybridMultilevel"/>
    <w:tmpl w:val="DA8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C1EF5"/>
    <w:multiLevelType w:val="multilevel"/>
    <w:tmpl w:val="9772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569F2"/>
    <w:multiLevelType w:val="hybridMultilevel"/>
    <w:tmpl w:val="8AE0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2206A"/>
    <w:multiLevelType w:val="multilevel"/>
    <w:tmpl w:val="5EB48F0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0" w15:restartNumberingAfterBreak="0">
    <w:nsid w:val="38DF05F1"/>
    <w:multiLevelType w:val="hybridMultilevel"/>
    <w:tmpl w:val="2FA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B5982"/>
    <w:multiLevelType w:val="hybridMultilevel"/>
    <w:tmpl w:val="5032EC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F7950"/>
    <w:multiLevelType w:val="hybridMultilevel"/>
    <w:tmpl w:val="7C22B49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3F3D525B"/>
    <w:multiLevelType w:val="multilevel"/>
    <w:tmpl w:val="75B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6B149A"/>
    <w:multiLevelType w:val="hybridMultilevel"/>
    <w:tmpl w:val="1338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81CBB"/>
    <w:multiLevelType w:val="hybridMultilevel"/>
    <w:tmpl w:val="E4C4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F5A02"/>
    <w:multiLevelType w:val="multilevel"/>
    <w:tmpl w:val="7656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B1D81"/>
    <w:multiLevelType w:val="hybridMultilevel"/>
    <w:tmpl w:val="00C6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527F5"/>
    <w:multiLevelType w:val="hybridMultilevel"/>
    <w:tmpl w:val="1812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129DB"/>
    <w:multiLevelType w:val="multilevel"/>
    <w:tmpl w:val="BD6C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F70E79"/>
    <w:multiLevelType w:val="multilevel"/>
    <w:tmpl w:val="B0C4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2408FF"/>
    <w:multiLevelType w:val="multilevel"/>
    <w:tmpl w:val="A0BA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D17222"/>
    <w:multiLevelType w:val="hybridMultilevel"/>
    <w:tmpl w:val="AB48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B2BF3"/>
    <w:multiLevelType w:val="hybridMultilevel"/>
    <w:tmpl w:val="8724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B22FBC"/>
    <w:multiLevelType w:val="multilevel"/>
    <w:tmpl w:val="D5C6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15618"/>
    <w:multiLevelType w:val="hybridMultilevel"/>
    <w:tmpl w:val="2DC4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6320A"/>
    <w:multiLevelType w:val="hybridMultilevel"/>
    <w:tmpl w:val="DE88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17FE1"/>
    <w:multiLevelType w:val="hybridMultilevel"/>
    <w:tmpl w:val="3A60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AE7E22"/>
    <w:multiLevelType w:val="hybridMultilevel"/>
    <w:tmpl w:val="590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F26D7"/>
    <w:multiLevelType w:val="hybridMultilevel"/>
    <w:tmpl w:val="8418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A6B49"/>
    <w:multiLevelType w:val="hybridMultilevel"/>
    <w:tmpl w:val="42E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07B11"/>
    <w:multiLevelType w:val="multilevel"/>
    <w:tmpl w:val="FDEAA1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02242B"/>
    <w:multiLevelType w:val="hybridMultilevel"/>
    <w:tmpl w:val="5CA0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029E8"/>
    <w:multiLevelType w:val="hybridMultilevel"/>
    <w:tmpl w:val="D83C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9F696A"/>
    <w:multiLevelType w:val="hybridMultilevel"/>
    <w:tmpl w:val="A89CE24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5" w15:restartNumberingAfterBreak="0">
    <w:nsid w:val="7BFF4757"/>
    <w:multiLevelType w:val="hybridMultilevel"/>
    <w:tmpl w:val="2D36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F0613E"/>
    <w:multiLevelType w:val="hybridMultilevel"/>
    <w:tmpl w:val="B1C2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015975">
    <w:abstractNumId w:val="4"/>
  </w:num>
  <w:num w:numId="2" w16cid:durableId="2056468101">
    <w:abstractNumId w:val="0"/>
  </w:num>
  <w:num w:numId="3" w16cid:durableId="1823541832">
    <w:abstractNumId w:val="39"/>
  </w:num>
  <w:num w:numId="4" w16cid:durableId="392118825">
    <w:abstractNumId w:val="2"/>
  </w:num>
  <w:num w:numId="5" w16cid:durableId="1359233622">
    <w:abstractNumId w:val="43"/>
  </w:num>
  <w:num w:numId="6" w16cid:durableId="1784037848">
    <w:abstractNumId w:val="19"/>
  </w:num>
  <w:num w:numId="7" w16cid:durableId="1654068617">
    <w:abstractNumId w:val="6"/>
  </w:num>
  <w:num w:numId="8" w16cid:durableId="1771243826">
    <w:abstractNumId w:val="42"/>
  </w:num>
  <w:num w:numId="9" w16cid:durableId="574778112">
    <w:abstractNumId w:val="33"/>
  </w:num>
  <w:num w:numId="10" w16cid:durableId="138694713">
    <w:abstractNumId w:val="20"/>
  </w:num>
  <w:num w:numId="11" w16cid:durableId="1722093159">
    <w:abstractNumId w:val="16"/>
  </w:num>
  <w:num w:numId="12" w16cid:durableId="1594898139">
    <w:abstractNumId w:val="18"/>
  </w:num>
  <w:num w:numId="13" w16cid:durableId="927156606">
    <w:abstractNumId w:val="3"/>
  </w:num>
  <w:num w:numId="14" w16cid:durableId="758527189">
    <w:abstractNumId w:val="14"/>
  </w:num>
  <w:num w:numId="15" w16cid:durableId="98533072">
    <w:abstractNumId w:val="12"/>
  </w:num>
  <w:num w:numId="16" w16cid:durableId="1751654503">
    <w:abstractNumId w:val="21"/>
  </w:num>
  <w:num w:numId="17" w16cid:durableId="445851882">
    <w:abstractNumId w:val="22"/>
  </w:num>
  <w:num w:numId="18" w16cid:durableId="136994257">
    <w:abstractNumId w:val="4"/>
  </w:num>
  <w:num w:numId="19" w16cid:durableId="648482402">
    <w:abstractNumId w:val="28"/>
  </w:num>
  <w:num w:numId="20" w16cid:durableId="1550800780">
    <w:abstractNumId w:val="9"/>
  </w:num>
  <w:num w:numId="21" w16cid:durableId="1754626172">
    <w:abstractNumId w:val="23"/>
  </w:num>
  <w:num w:numId="22" w16cid:durableId="843545801">
    <w:abstractNumId w:val="29"/>
  </w:num>
  <w:num w:numId="23" w16cid:durableId="1856461413">
    <w:abstractNumId w:val="10"/>
  </w:num>
  <w:num w:numId="24" w16cid:durableId="708147160">
    <w:abstractNumId w:val="13"/>
  </w:num>
  <w:num w:numId="25" w16cid:durableId="1963925369">
    <w:abstractNumId w:val="5"/>
  </w:num>
  <w:num w:numId="26" w16cid:durableId="1654597377">
    <w:abstractNumId w:val="40"/>
  </w:num>
  <w:num w:numId="27" w16cid:durableId="1072000857">
    <w:abstractNumId w:val="1"/>
  </w:num>
  <w:num w:numId="28" w16cid:durableId="1546091761">
    <w:abstractNumId w:val="11"/>
  </w:num>
  <w:num w:numId="29" w16cid:durableId="1922635594">
    <w:abstractNumId w:val="44"/>
  </w:num>
  <w:num w:numId="30" w16cid:durableId="1451360919">
    <w:abstractNumId w:val="17"/>
  </w:num>
  <w:num w:numId="31" w16cid:durableId="2122645517">
    <w:abstractNumId w:val="7"/>
  </w:num>
  <w:num w:numId="32" w16cid:durableId="353120936">
    <w:abstractNumId w:val="34"/>
  </w:num>
  <w:num w:numId="33" w16cid:durableId="1164129283">
    <w:abstractNumId w:val="26"/>
  </w:num>
  <w:num w:numId="34" w16cid:durableId="346907430">
    <w:abstractNumId w:val="38"/>
  </w:num>
  <w:num w:numId="35" w16cid:durableId="981351370">
    <w:abstractNumId w:val="25"/>
  </w:num>
  <w:num w:numId="36" w16cid:durableId="530000236">
    <w:abstractNumId w:val="30"/>
  </w:num>
  <w:num w:numId="37" w16cid:durableId="1427654385">
    <w:abstractNumId w:val="31"/>
  </w:num>
  <w:num w:numId="38" w16cid:durableId="840972989">
    <w:abstractNumId w:val="36"/>
  </w:num>
  <w:num w:numId="39" w16cid:durableId="280848402">
    <w:abstractNumId w:val="4"/>
  </w:num>
  <w:num w:numId="40" w16cid:durableId="1270434949">
    <w:abstractNumId w:val="32"/>
  </w:num>
  <w:num w:numId="41" w16cid:durableId="1054933344">
    <w:abstractNumId w:val="37"/>
  </w:num>
  <w:num w:numId="42" w16cid:durableId="2032560081">
    <w:abstractNumId w:val="41"/>
  </w:num>
  <w:num w:numId="43" w16cid:durableId="318002421">
    <w:abstractNumId w:val="46"/>
  </w:num>
  <w:num w:numId="44" w16cid:durableId="1686782145">
    <w:abstractNumId w:val="35"/>
  </w:num>
  <w:num w:numId="45" w16cid:durableId="423914006">
    <w:abstractNumId w:val="15"/>
  </w:num>
  <w:num w:numId="46" w16cid:durableId="760222523">
    <w:abstractNumId w:val="45"/>
  </w:num>
  <w:num w:numId="47" w16cid:durableId="1066993402">
    <w:abstractNumId w:val="27"/>
  </w:num>
  <w:num w:numId="48" w16cid:durableId="1748844409">
    <w:abstractNumId w:val="24"/>
  </w:num>
  <w:num w:numId="49" w16cid:durableId="31267926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1318"/>
    <w:rsid w:val="00013295"/>
    <w:rsid w:val="00024D61"/>
    <w:rsid w:val="00030179"/>
    <w:rsid w:val="00034C0F"/>
    <w:rsid w:val="00044905"/>
    <w:rsid w:val="000464E8"/>
    <w:rsid w:val="0005026E"/>
    <w:rsid w:val="00053ED7"/>
    <w:rsid w:val="00057014"/>
    <w:rsid w:val="000606A2"/>
    <w:rsid w:val="00066389"/>
    <w:rsid w:val="00067DD3"/>
    <w:rsid w:val="00071E0D"/>
    <w:rsid w:val="00075116"/>
    <w:rsid w:val="000765F1"/>
    <w:rsid w:val="00084084"/>
    <w:rsid w:val="0008472C"/>
    <w:rsid w:val="000858D5"/>
    <w:rsid w:val="00087BE4"/>
    <w:rsid w:val="00090EDF"/>
    <w:rsid w:val="00091880"/>
    <w:rsid w:val="0009304D"/>
    <w:rsid w:val="00094747"/>
    <w:rsid w:val="000A2B65"/>
    <w:rsid w:val="000A4058"/>
    <w:rsid w:val="000B063F"/>
    <w:rsid w:val="000B30EA"/>
    <w:rsid w:val="000C288A"/>
    <w:rsid w:val="000C63E2"/>
    <w:rsid w:val="000C69F7"/>
    <w:rsid w:val="000D0020"/>
    <w:rsid w:val="000D1C8A"/>
    <w:rsid w:val="000D3EA4"/>
    <w:rsid w:val="000D6D40"/>
    <w:rsid w:val="000E4B08"/>
    <w:rsid w:val="000F0999"/>
    <w:rsid w:val="000F2874"/>
    <w:rsid w:val="000F35E7"/>
    <w:rsid w:val="000F4553"/>
    <w:rsid w:val="000F50CE"/>
    <w:rsid w:val="000F5347"/>
    <w:rsid w:val="000F5FF7"/>
    <w:rsid w:val="001037C5"/>
    <w:rsid w:val="001100FD"/>
    <w:rsid w:val="00111E00"/>
    <w:rsid w:val="001132B3"/>
    <w:rsid w:val="00120C80"/>
    <w:rsid w:val="00123424"/>
    <w:rsid w:val="001429C3"/>
    <w:rsid w:val="00144A86"/>
    <w:rsid w:val="001473B7"/>
    <w:rsid w:val="001502E1"/>
    <w:rsid w:val="00152800"/>
    <w:rsid w:val="001528E4"/>
    <w:rsid w:val="001566AA"/>
    <w:rsid w:val="0016433C"/>
    <w:rsid w:val="001648CD"/>
    <w:rsid w:val="00166440"/>
    <w:rsid w:val="00166F39"/>
    <w:rsid w:val="00172ACD"/>
    <w:rsid w:val="00172DBE"/>
    <w:rsid w:val="001735E1"/>
    <w:rsid w:val="00173DEA"/>
    <w:rsid w:val="00177FAF"/>
    <w:rsid w:val="00181941"/>
    <w:rsid w:val="00182759"/>
    <w:rsid w:val="001872B9"/>
    <w:rsid w:val="00191BC0"/>
    <w:rsid w:val="00193FD6"/>
    <w:rsid w:val="001A01D7"/>
    <w:rsid w:val="001A4626"/>
    <w:rsid w:val="001A4A67"/>
    <w:rsid w:val="001A7A41"/>
    <w:rsid w:val="001B0E34"/>
    <w:rsid w:val="001B15E6"/>
    <w:rsid w:val="001D178B"/>
    <w:rsid w:val="001D340C"/>
    <w:rsid w:val="001E499F"/>
    <w:rsid w:val="001F02C4"/>
    <w:rsid w:val="00206BA6"/>
    <w:rsid w:val="00207945"/>
    <w:rsid w:val="00212DB0"/>
    <w:rsid w:val="00216811"/>
    <w:rsid w:val="00222365"/>
    <w:rsid w:val="00224955"/>
    <w:rsid w:val="00231DAE"/>
    <w:rsid w:val="002334CE"/>
    <w:rsid w:val="002336EA"/>
    <w:rsid w:val="00241A05"/>
    <w:rsid w:val="00245C51"/>
    <w:rsid w:val="0024704E"/>
    <w:rsid w:val="002538F5"/>
    <w:rsid w:val="00254154"/>
    <w:rsid w:val="00256936"/>
    <w:rsid w:val="002608E6"/>
    <w:rsid w:val="00271C5D"/>
    <w:rsid w:val="00272956"/>
    <w:rsid w:val="00273297"/>
    <w:rsid w:val="00277F8A"/>
    <w:rsid w:val="002875A3"/>
    <w:rsid w:val="00290785"/>
    <w:rsid w:val="002C0F0A"/>
    <w:rsid w:val="002C2497"/>
    <w:rsid w:val="002C6527"/>
    <w:rsid w:val="002C6921"/>
    <w:rsid w:val="002C7508"/>
    <w:rsid w:val="002C7FB2"/>
    <w:rsid w:val="002D0ED0"/>
    <w:rsid w:val="002D18C1"/>
    <w:rsid w:val="002D2D21"/>
    <w:rsid w:val="002D37BF"/>
    <w:rsid w:val="002D3E35"/>
    <w:rsid w:val="002E0934"/>
    <w:rsid w:val="002E49AE"/>
    <w:rsid w:val="002F1096"/>
    <w:rsid w:val="002F4808"/>
    <w:rsid w:val="003000BD"/>
    <w:rsid w:val="0031255E"/>
    <w:rsid w:val="0031325B"/>
    <w:rsid w:val="00313C64"/>
    <w:rsid w:val="00321B81"/>
    <w:rsid w:val="003255E6"/>
    <w:rsid w:val="003378DB"/>
    <w:rsid w:val="00343610"/>
    <w:rsid w:val="00343E43"/>
    <w:rsid w:val="003458E1"/>
    <w:rsid w:val="00345FE8"/>
    <w:rsid w:val="00351611"/>
    <w:rsid w:val="003521CD"/>
    <w:rsid w:val="0035306F"/>
    <w:rsid w:val="00353A3D"/>
    <w:rsid w:val="00357D85"/>
    <w:rsid w:val="00361EBF"/>
    <w:rsid w:val="00365D1D"/>
    <w:rsid w:val="00366CEC"/>
    <w:rsid w:val="003672EF"/>
    <w:rsid w:val="00367A39"/>
    <w:rsid w:val="00380301"/>
    <w:rsid w:val="00385472"/>
    <w:rsid w:val="003870E1"/>
    <w:rsid w:val="00390205"/>
    <w:rsid w:val="003902FD"/>
    <w:rsid w:val="00393490"/>
    <w:rsid w:val="00394F80"/>
    <w:rsid w:val="00395603"/>
    <w:rsid w:val="00396A60"/>
    <w:rsid w:val="003970B9"/>
    <w:rsid w:val="00397696"/>
    <w:rsid w:val="003A019E"/>
    <w:rsid w:val="003C08EE"/>
    <w:rsid w:val="003C1644"/>
    <w:rsid w:val="003C1D2B"/>
    <w:rsid w:val="003C67D3"/>
    <w:rsid w:val="003D0363"/>
    <w:rsid w:val="003D648E"/>
    <w:rsid w:val="003D7BC6"/>
    <w:rsid w:val="003E668B"/>
    <w:rsid w:val="003E72F8"/>
    <w:rsid w:val="003F36B9"/>
    <w:rsid w:val="003F6E45"/>
    <w:rsid w:val="004042C1"/>
    <w:rsid w:val="00411341"/>
    <w:rsid w:val="00411AF8"/>
    <w:rsid w:val="00412457"/>
    <w:rsid w:val="00412C38"/>
    <w:rsid w:val="00414A56"/>
    <w:rsid w:val="004163D3"/>
    <w:rsid w:val="0042091D"/>
    <w:rsid w:val="00424331"/>
    <w:rsid w:val="00426612"/>
    <w:rsid w:val="00432630"/>
    <w:rsid w:val="0043549F"/>
    <w:rsid w:val="00442BCE"/>
    <w:rsid w:val="004447C4"/>
    <w:rsid w:val="004456C9"/>
    <w:rsid w:val="00452967"/>
    <w:rsid w:val="00454080"/>
    <w:rsid w:val="004541BC"/>
    <w:rsid w:val="0045484D"/>
    <w:rsid w:val="0046091E"/>
    <w:rsid w:val="00460BA9"/>
    <w:rsid w:val="004630C4"/>
    <w:rsid w:val="00464F50"/>
    <w:rsid w:val="004674C5"/>
    <w:rsid w:val="004763A7"/>
    <w:rsid w:val="0048720D"/>
    <w:rsid w:val="0049320B"/>
    <w:rsid w:val="00497F2B"/>
    <w:rsid w:val="004A06F4"/>
    <w:rsid w:val="004A2D8A"/>
    <w:rsid w:val="004B31F8"/>
    <w:rsid w:val="004C3655"/>
    <w:rsid w:val="004C5BED"/>
    <w:rsid w:val="004C72AB"/>
    <w:rsid w:val="004D4FB9"/>
    <w:rsid w:val="004D6D92"/>
    <w:rsid w:val="004D76F0"/>
    <w:rsid w:val="004E0333"/>
    <w:rsid w:val="004E1B7E"/>
    <w:rsid w:val="004E2366"/>
    <w:rsid w:val="004E2A77"/>
    <w:rsid w:val="004E458A"/>
    <w:rsid w:val="004E4624"/>
    <w:rsid w:val="004E647A"/>
    <w:rsid w:val="004E7453"/>
    <w:rsid w:val="004F11CB"/>
    <w:rsid w:val="004F122F"/>
    <w:rsid w:val="004F37AE"/>
    <w:rsid w:val="004F7689"/>
    <w:rsid w:val="00503565"/>
    <w:rsid w:val="005063AD"/>
    <w:rsid w:val="005067B1"/>
    <w:rsid w:val="00506B6D"/>
    <w:rsid w:val="00513C0F"/>
    <w:rsid w:val="00515291"/>
    <w:rsid w:val="00521072"/>
    <w:rsid w:val="00526343"/>
    <w:rsid w:val="005271AF"/>
    <w:rsid w:val="00527B68"/>
    <w:rsid w:val="0053093E"/>
    <w:rsid w:val="00537E42"/>
    <w:rsid w:val="005407DE"/>
    <w:rsid w:val="00553ADE"/>
    <w:rsid w:val="00553F01"/>
    <w:rsid w:val="005549E6"/>
    <w:rsid w:val="005552E8"/>
    <w:rsid w:val="0055661C"/>
    <w:rsid w:val="00556ACF"/>
    <w:rsid w:val="005629E0"/>
    <w:rsid w:val="00562AD2"/>
    <w:rsid w:val="005742C4"/>
    <w:rsid w:val="00574337"/>
    <w:rsid w:val="00574ADC"/>
    <w:rsid w:val="0057631C"/>
    <w:rsid w:val="00577116"/>
    <w:rsid w:val="00577796"/>
    <w:rsid w:val="0058030A"/>
    <w:rsid w:val="00584973"/>
    <w:rsid w:val="005855E8"/>
    <w:rsid w:val="0059159A"/>
    <w:rsid w:val="005923E7"/>
    <w:rsid w:val="00595693"/>
    <w:rsid w:val="00596DBD"/>
    <w:rsid w:val="005A1C65"/>
    <w:rsid w:val="005A2B1C"/>
    <w:rsid w:val="005B058D"/>
    <w:rsid w:val="005B05A8"/>
    <w:rsid w:val="005B3AF9"/>
    <w:rsid w:val="005B5CA4"/>
    <w:rsid w:val="005B6148"/>
    <w:rsid w:val="005C0233"/>
    <w:rsid w:val="005C2D60"/>
    <w:rsid w:val="005C3962"/>
    <w:rsid w:val="005C4F05"/>
    <w:rsid w:val="005C66D4"/>
    <w:rsid w:val="005C6984"/>
    <w:rsid w:val="005D0A0A"/>
    <w:rsid w:val="005D31D6"/>
    <w:rsid w:val="005D34C2"/>
    <w:rsid w:val="005E14D7"/>
    <w:rsid w:val="005E2F65"/>
    <w:rsid w:val="005E4FBB"/>
    <w:rsid w:val="005E6BC0"/>
    <w:rsid w:val="005F4759"/>
    <w:rsid w:val="006006F1"/>
    <w:rsid w:val="006114D0"/>
    <w:rsid w:val="0062334A"/>
    <w:rsid w:val="006263C0"/>
    <w:rsid w:val="00631A5F"/>
    <w:rsid w:val="00631F81"/>
    <w:rsid w:val="00634F2D"/>
    <w:rsid w:val="00642900"/>
    <w:rsid w:val="00644192"/>
    <w:rsid w:val="00645B15"/>
    <w:rsid w:val="00647734"/>
    <w:rsid w:val="00651171"/>
    <w:rsid w:val="00653591"/>
    <w:rsid w:val="00660D8D"/>
    <w:rsid w:val="00663206"/>
    <w:rsid w:val="006646C0"/>
    <w:rsid w:val="006658BB"/>
    <w:rsid w:val="00674887"/>
    <w:rsid w:val="00675084"/>
    <w:rsid w:val="00677D3D"/>
    <w:rsid w:val="00681FDF"/>
    <w:rsid w:val="00684D46"/>
    <w:rsid w:val="00684F05"/>
    <w:rsid w:val="00685B2A"/>
    <w:rsid w:val="00692B6C"/>
    <w:rsid w:val="00692ED5"/>
    <w:rsid w:val="006951C7"/>
    <w:rsid w:val="006A476C"/>
    <w:rsid w:val="006A73CD"/>
    <w:rsid w:val="006C289F"/>
    <w:rsid w:val="006C2D92"/>
    <w:rsid w:val="006C2FEA"/>
    <w:rsid w:val="006C5288"/>
    <w:rsid w:val="006C5F54"/>
    <w:rsid w:val="006C635D"/>
    <w:rsid w:val="006D215A"/>
    <w:rsid w:val="006D2BEB"/>
    <w:rsid w:val="006E422E"/>
    <w:rsid w:val="006E4613"/>
    <w:rsid w:val="006F2939"/>
    <w:rsid w:val="006F6E6B"/>
    <w:rsid w:val="007004F2"/>
    <w:rsid w:val="00713B0A"/>
    <w:rsid w:val="00713B0C"/>
    <w:rsid w:val="00713EF4"/>
    <w:rsid w:val="0071583A"/>
    <w:rsid w:val="0072241E"/>
    <w:rsid w:val="007268CF"/>
    <w:rsid w:val="00730CC3"/>
    <w:rsid w:val="007326E3"/>
    <w:rsid w:val="007358E2"/>
    <w:rsid w:val="00741138"/>
    <w:rsid w:val="00742005"/>
    <w:rsid w:val="00746670"/>
    <w:rsid w:val="0074688A"/>
    <w:rsid w:val="00756CE7"/>
    <w:rsid w:val="007740C9"/>
    <w:rsid w:val="00783572"/>
    <w:rsid w:val="00784C77"/>
    <w:rsid w:val="007869B6"/>
    <w:rsid w:val="00787AB2"/>
    <w:rsid w:val="00791DD4"/>
    <w:rsid w:val="00796159"/>
    <w:rsid w:val="0079673D"/>
    <w:rsid w:val="007B22AC"/>
    <w:rsid w:val="007B513C"/>
    <w:rsid w:val="007B624D"/>
    <w:rsid w:val="007C0C8B"/>
    <w:rsid w:val="007C4EA7"/>
    <w:rsid w:val="007C657E"/>
    <w:rsid w:val="007D36E5"/>
    <w:rsid w:val="007D3F91"/>
    <w:rsid w:val="007D610B"/>
    <w:rsid w:val="007D647C"/>
    <w:rsid w:val="007E38ED"/>
    <w:rsid w:val="007E6343"/>
    <w:rsid w:val="007F1CDF"/>
    <w:rsid w:val="00807EC1"/>
    <w:rsid w:val="008160A1"/>
    <w:rsid w:val="00821D8F"/>
    <w:rsid w:val="00831E4E"/>
    <w:rsid w:val="00843FAD"/>
    <w:rsid w:val="008477AF"/>
    <w:rsid w:val="0085058A"/>
    <w:rsid w:val="00852481"/>
    <w:rsid w:val="008603AE"/>
    <w:rsid w:val="00862EB6"/>
    <w:rsid w:val="00863E04"/>
    <w:rsid w:val="0086518C"/>
    <w:rsid w:val="00876911"/>
    <w:rsid w:val="00876DDC"/>
    <w:rsid w:val="008804AC"/>
    <w:rsid w:val="00884B46"/>
    <w:rsid w:val="00890ED5"/>
    <w:rsid w:val="0089353C"/>
    <w:rsid w:val="00896912"/>
    <w:rsid w:val="008A2422"/>
    <w:rsid w:val="008A36FF"/>
    <w:rsid w:val="008A370F"/>
    <w:rsid w:val="008A5CCE"/>
    <w:rsid w:val="008B54DB"/>
    <w:rsid w:val="008C294A"/>
    <w:rsid w:val="008C2C8F"/>
    <w:rsid w:val="008C5AED"/>
    <w:rsid w:val="008C6AD8"/>
    <w:rsid w:val="008D5E2A"/>
    <w:rsid w:val="008F185C"/>
    <w:rsid w:val="008F1C80"/>
    <w:rsid w:val="008F45E7"/>
    <w:rsid w:val="009045AB"/>
    <w:rsid w:val="00904939"/>
    <w:rsid w:val="00905033"/>
    <w:rsid w:val="00910280"/>
    <w:rsid w:val="00910589"/>
    <w:rsid w:val="00910F40"/>
    <w:rsid w:val="009168A7"/>
    <w:rsid w:val="00922DFB"/>
    <w:rsid w:val="009235C1"/>
    <w:rsid w:val="009275ED"/>
    <w:rsid w:val="00931791"/>
    <w:rsid w:val="009320AB"/>
    <w:rsid w:val="00932A8E"/>
    <w:rsid w:val="00937FAD"/>
    <w:rsid w:val="00940EB7"/>
    <w:rsid w:val="00943551"/>
    <w:rsid w:val="009514CD"/>
    <w:rsid w:val="009527FE"/>
    <w:rsid w:val="009544D6"/>
    <w:rsid w:val="00956CCC"/>
    <w:rsid w:val="00957FE1"/>
    <w:rsid w:val="00961F68"/>
    <w:rsid w:val="00961FED"/>
    <w:rsid w:val="00962021"/>
    <w:rsid w:val="00962F38"/>
    <w:rsid w:val="00965FEA"/>
    <w:rsid w:val="00967D13"/>
    <w:rsid w:val="0097798A"/>
    <w:rsid w:val="009856DE"/>
    <w:rsid w:val="009865FC"/>
    <w:rsid w:val="00986B04"/>
    <w:rsid w:val="00987CBC"/>
    <w:rsid w:val="00994A8A"/>
    <w:rsid w:val="00997D3B"/>
    <w:rsid w:val="009A02B2"/>
    <w:rsid w:val="009A28BF"/>
    <w:rsid w:val="009A3EA4"/>
    <w:rsid w:val="009A603A"/>
    <w:rsid w:val="009B7B37"/>
    <w:rsid w:val="009C12C1"/>
    <w:rsid w:val="009C2E7F"/>
    <w:rsid w:val="009C611F"/>
    <w:rsid w:val="009C6802"/>
    <w:rsid w:val="009D326A"/>
    <w:rsid w:val="009D386D"/>
    <w:rsid w:val="009D3BBE"/>
    <w:rsid w:val="009E3E21"/>
    <w:rsid w:val="009E44EC"/>
    <w:rsid w:val="009F0414"/>
    <w:rsid w:val="009F3854"/>
    <w:rsid w:val="009F6EEB"/>
    <w:rsid w:val="009F75EF"/>
    <w:rsid w:val="00A06095"/>
    <w:rsid w:val="00A12140"/>
    <w:rsid w:val="00A12A6E"/>
    <w:rsid w:val="00A1490B"/>
    <w:rsid w:val="00A17072"/>
    <w:rsid w:val="00A179B2"/>
    <w:rsid w:val="00A22F13"/>
    <w:rsid w:val="00A238C0"/>
    <w:rsid w:val="00A26A10"/>
    <w:rsid w:val="00A374E8"/>
    <w:rsid w:val="00A404C4"/>
    <w:rsid w:val="00A41B77"/>
    <w:rsid w:val="00A43988"/>
    <w:rsid w:val="00A47272"/>
    <w:rsid w:val="00A56F71"/>
    <w:rsid w:val="00A65A1D"/>
    <w:rsid w:val="00A721EE"/>
    <w:rsid w:val="00A90DDD"/>
    <w:rsid w:val="00A910EC"/>
    <w:rsid w:val="00A94F97"/>
    <w:rsid w:val="00A952E7"/>
    <w:rsid w:val="00A96196"/>
    <w:rsid w:val="00AA320B"/>
    <w:rsid w:val="00AA559F"/>
    <w:rsid w:val="00AA5A08"/>
    <w:rsid w:val="00AA5F4B"/>
    <w:rsid w:val="00AA6045"/>
    <w:rsid w:val="00AA7F26"/>
    <w:rsid w:val="00AB3844"/>
    <w:rsid w:val="00AD45AA"/>
    <w:rsid w:val="00AD4DF7"/>
    <w:rsid w:val="00AE091B"/>
    <w:rsid w:val="00AE22ED"/>
    <w:rsid w:val="00AE7F16"/>
    <w:rsid w:val="00AF16E5"/>
    <w:rsid w:val="00AF4808"/>
    <w:rsid w:val="00AF527D"/>
    <w:rsid w:val="00B0375D"/>
    <w:rsid w:val="00B111A7"/>
    <w:rsid w:val="00B1467E"/>
    <w:rsid w:val="00B22E1E"/>
    <w:rsid w:val="00B2339A"/>
    <w:rsid w:val="00B249C1"/>
    <w:rsid w:val="00B24A2F"/>
    <w:rsid w:val="00B279F9"/>
    <w:rsid w:val="00B30964"/>
    <w:rsid w:val="00B33FB5"/>
    <w:rsid w:val="00B35D79"/>
    <w:rsid w:val="00B36515"/>
    <w:rsid w:val="00B40D1E"/>
    <w:rsid w:val="00B506CA"/>
    <w:rsid w:val="00B533B3"/>
    <w:rsid w:val="00B60A82"/>
    <w:rsid w:val="00B75EA9"/>
    <w:rsid w:val="00B77F59"/>
    <w:rsid w:val="00B8488A"/>
    <w:rsid w:val="00B85717"/>
    <w:rsid w:val="00BA02C9"/>
    <w:rsid w:val="00BA7602"/>
    <w:rsid w:val="00BB21BE"/>
    <w:rsid w:val="00BB564E"/>
    <w:rsid w:val="00BC288C"/>
    <w:rsid w:val="00BC31FC"/>
    <w:rsid w:val="00BE003C"/>
    <w:rsid w:val="00BE17B3"/>
    <w:rsid w:val="00BE3256"/>
    <w:rsid w:val="00BE4B68"/>
    <w:rsid w:val="00BE5ED6"/>
    <w:rsid w:val="00BE633B"/>
    <w:rsid w:val="00BE71AF"/>
    <w:rsid w:val="00BF2B7C"/>
    <w:rsid w:val="00BF33F6"/>
    <w:rsid w:val="00BF343F"/>
    <w:rsid w:val="00BF3472"/>
    <w:rsid w:val="00C0016B"/>
    <w:rsid w:val="00C01106"/>
    <w:rsid w:val="00C029C7"/>
    <w:rsid w:val="00C033F2"/>
    <w:rsid w:val="00C037B7"/>
    <w:rsid w:val="00C069CC"/>
    <w:rsid w:val="00C0726A"/>
    <w:rsid w:val="00C1542B"/>
    <w:rsid w:val="00C22BB4"/>
    <w:rsid w:val="00C23DEF"/>
    <w:rsid w:val="00C30BD7"/>
    <w:rsid w:val="00C30DF2"/>
    <w:rsid w:val="00C32A8B"/>
    <w:rsid w:val="00C33BD8"/>
    <w:rsid w:val="00C37348"/>
    <w:rsid w:val="00C37EAD"/>
    <w:rsid w:val="00C414B0"/>
    <w:rsid w:val="00C41F35"/>
    <w:rsid w:val="00C427C6"/>
    <w:rsid w:val="00C47344"/>
    <w:rsid w:val="00C5433C"/>
    <w:rsid w:val="00C5475F"/>
    <w:rsid w:val="00C610A7"/>
    <w:rsid w:val="00C642CA"/>
    <w:rsid w:val="00C67444"/>
    <w:rsid w:val="00C72CB5"/>
    <w:rsid w:val="00C77205"/>
    <w:rsid w:val="00C802F0"/>
    <w:rsid w:val="00C82956"/>
    <w:rsid w:val="00CA1EF3"/>
    <w:rsid w:val="00CA25EC"/>
    <w:rsid w:val="00CA3372"/>
    <w:rsid w:val="00CA72EA"/>
    <w:rsid w:val="00CB1077"/>
    <w:rsid w:val="00CB39DE"/>
    <w:rsid w:val="00CB49E5"/>
    <w:rsid w:val="00CC1501"/>
    <w:rsid w:val="00CC4E96"/>
    <w:rsid w:val="00CD2BD0"/>
    <w:rsid w:val="00CD3286"/>
    <w:rsid w:val="00CD4001"/>
    <w:rsid w:val="00CD5F58"/>
    <w:rsid w:val="00CD6582"/>
    <w:rsid w:val="00CD7147"/>
    <w:rsid w:val="00CE7DFC"/>
    <w:rsid w:val="00CF66D6"/>
    <w:rsid w:val="00D05574"/>
    <w:rsid w:val="00D11D1B"/>
    <w:rsid w:val="00D143C9"/>
    <w:rsid w:val="00D232E8"/>
    <w:rsid w:val="00D3186C"/>
    <w:rsid w:val="00D33B30"/>
    <w:rsid w:val="00D36CBA"/>
    <w:rsid w:val="00D43D34"/>
    <w:rsid w:val="00D44CB6"/>
    <w:rsid w:val="00D46D48"/>
    <w:rsid w:val="00D50E1F"/>
    <w:rsid w:val="00D513A5"/>
    <w:rsid w:val="00D53316"/>
    <w:rsid w:val="00D65671"/>
    <w:rsid w:val="00D76571"/>
    <w:rsid w:val="00D77737"/>
    <w:rsid w:val="00D85E4D"/>
    <w:rsid w:val="00D8677B"/>
    <w:rsid w:val="00D87A77"/>
    <w:rsid w:val="00D90122"/>
    <w:rsid w:val="00D95C43"/>
    <w:rsid w:val="00DA24DA"/>
    <w:rsid w:val="00DA693B"/>
    <w:rsid w:val="00DA6BAF"/>
    <w:rsid w:val="00DB1EFC"/>
    <w:rsid w:val="00DB47E7"/>
    <w:rsid w:val="00DB5E00"/>
    <w:rsid w:val="00DC02FF"/>
    <w:rsid w:val="00DC27CB"/>
    <w:rsid w:val="00DC2F73"/>
    <w:rsid w:val="00DC6EC3"/>
    <w:rsid w:val="00DD02B8"/>
    <w:rsid w:val="00DD1ACC"/>
    <w:rsid w:val="00DD209F"/>
    <w:rsid w:val="00DD67F8"/>
    <w:rsid w:val="00DE646E"/>
    <w:rsid w:val="00E0226B"/>
    <w:rsid w:val="00E02790"/>
    <w:rsid w:val="00E0556A"/>
    <w:rsid w:val="00E06B7E"/>
    <w:rsid w:val="00E102BA"/>
    <w:rsid w:val="00E1046A"/>
    <w:rsid w:val="00E111A4"/>
    <w:rsid w:val="00E15864"/>
    <w:rsid w:val="00E22435"/>
    <w:rsid w:val="00E22715"/>
    <w:rsid w:val="00E2563B"/>
    <w:rsid w:val="00E30384"/>
    <w:rsid w:val="00E3235D"/>
    <w:rsid w:val="00E32527"/>
    <w:rsid w:val="00E35A44"/>
    <w:rsid w:val="00E40975"/>
    <w:rsid w:val="00E429A7"/>
    <w:rsid w:val="00E45A5F"/>
    <w:rsid w:val="00E52340"/>
    <w:rsid w:val="00E53611"/>
    <w:rsid w:val="00E5412E"/>
    <w:rsid w:val="00E552A4"/>
    <w:rsid w:val="00E619D2"/>
    <w:rsid w:val="00E658CE"/>
    <w:rsid w:val="00E673E9"/>
    <w:rsid w:val="00E72FAC"/>
    <w:rsid w:val="00E8180A"/>
    <w:rsid w:val="00E83075"/>
    <w:rsid w:val="00E85096"/>
    <w:rsid w:val="00E9196C"/>
    <w:rsid w:val="00E95273"/>
    <w:rsid w:val="00E957E3"/>
    <w:rsid w:val="00EA0846"/>
    <w:rsid w:val="00EB54C4"/>
    <w:rsid w:val="00EB5F81"/>
    <w:rsid w:val="00EC4224"/>
    <w:rsid w:val="00EC6E8C"/>
    <w:rsid w:val="00EC7FC7"/>
    <w:rsid w:val="00ED1249"/>
    <w:rsid w:val="00ED6D03"/>
    <w:rsid w:val="00EE490D"/>
    <w:rsid w:val="00EE6FF3"/>
    <w:rsid w:val="00EF36B2"/>
    <w:rsid w:val="00EF5331"/>
    <w:rsid w:val="00F03E0D"/>
    <w:rsid w:val="00F1161C"/>
    <w:rsid w:val="00F139E1"/>
    <w:rsid w:val="00F155BF"/>
    <w:rsid w:val="00F16B99"/>
    <w:rsid w:val="00F209F4"/>
    <w:rsid w:val="00F20D97"/>
    <w:rsid w:val="00F427A6"/>
    <w:rsid w:val="00F440B8"/>
    <w:rsid w:val="00F454D3"/>
    <w:rsid w:val="00F466DB"/>
    <w:rsid w:val="00F56E1B"/>
    <w:rsid w:val="00F62998"/>
    <w:rsid w:val="00F674BB"/>
    <w:rsid w:val="00F77CE0"/>
    <w:rsid w:val="00F822BB"/>
    <w:rsid w:val="00F96275"/>
    <w:rsid w:val="00F9669D"/>
    <w:rsid w:val="00FA0D52"/>
    <w:rsid w:val="00FA5B8D"/>
    <w:rsid w:val="00FA5BDC"/>
    <w:rsid w:val="00FA68BB"/>
    <w:rsid w:val="00FB1CC4"/>
    <w:rsid w:val="00FB2959"/>
    <w:rsid w:val="00FC1B60"/>
    <w:rsid w:val="00FC595E"/>
    <w:rsid w:val="00FC67ED"/>
    <w:rsid w:val="00FE082F"/>
    <w:rsid w:val="00FE0F19"/>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79D63AAB-23CC-2B42-A9D8-E2D79F40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61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653591"/>
    <w:pPr>
      <w:tabs>
        <w:tab w:val="left" w:pos="440"/>
        <w:tab w:val="left" w:pos="658"/>
        <w:tab w:val="left" w:pos="8222"/>
      </w:tabs>
      <w:spacing w:before="360"/>
      <w:ind w:right="798"/>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653591"/>
    <w:pPr>
      <w:tabs>
        <w:tab w:val="left" w:pos="660"/>
        <w:tab w:val="left" w:pos="8222"/>
      </w:tabs>
      <w:spacing w:before="80"/>
      <w:ind w:right="798"/>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46091E"/>
    <w:rPr>
      <w:color w:val="605E5C"/>
      <w:shd w:val="clear" w:color="auto" w:fill="E1DFDD"/>
    </w:rPr>
  </w:style>
  <w:style w:type="character" w:customStyle="1" w:styleId="UnresolvedMention2">
    <w:name w:val="Unresolved Mention2"/>
    <w:basedOn w:val="DefaultParagraphFont"/>
    <w:rsid w:val="00177FAF"/>
    <w:rPr>
      <w:color w:val="605E5C"/>
      <w:shd w:val="clear" w:color="auto" w:fill="E1DFDD"/>
    </w:rPr>
  </w:style>
  <w:style w:type="paragraph" w:styleId="NormalWeb">
    <w:name w:val="Normal (Web)"/>
    <w:basedOn w:val="Normal"/>
    <w:uiPriority w:val="99"/>
    <w:unhideWhenUsed/>
    <w:rsid w:val="0058030A"/>
    <w:pPr>
      <w:spacing w:before="100" w:beforeAutospacing="1" w:after="100" w:afterAutospacing="1"/>
    </w:pPr>
  </w:style>
  <w:style w:type="character" w:customStyle="1" w:styleId="UnresolvedMention3">
    <w:name w:val="Unresolved Mention3"/>
    <w:basedOn w:val="DefaultParagraphFont"/>
    <w:rsid w:val="00426612"/>
    <w:rPr>
      <w:color w:val="605E5C"/>
      <w:shd w:val="clear" w:color="auto" w:fill="E1DFDD"/>
    </w:rPr>
  </w:style>
  <w:style w:type="character" w:customStyle="1" w:styleId="UnresolvedMention4">
    <w:name w:val="Unresolved Mention4"/>
    <w:basedOn w:val="DefaultParagraphFont"/>
    <w:uiPriority w:val="99"/>
    <w:semiHidden/>
    <w:unhideWhenUsed/>
    <w:rsid w:val="00DC6EC3"/>
    <w:rPr>
      <w:color w:val="605E5C"/>
      <w:shd w:val="clear" w:color="auto" w:fill="E1DFDD"/>
    </w:rPr>
  </w:style>
  <w:style w:type="character" w:customStyle="1" w:styleId="UnresolvedMention5">
    <w:name w:val="Unresolved Mention5"/>
    <w:basedOn w:val="DefaultParagraphFont"/>
    <w:uiPriority w:val="99"/>
    <w:semiHidden/>
    <w:unhideWhenUsed/>
    <w:rsid w:val="004C72AB"/>
    <w:rPr>
      <w:color w:val="605E5C"/>
      <w:shd w:val="clear" w:color="auto" w:fill="E1DFDD"/>
    </w:rPr>
  </w:style>
  <w:style w:type="character" w:styleId="PageNumber">
    <w:name w:val="page number"/>
    <w:basedOn w:val="DefaultParagraphFont"/>
    <w:uiPriority w:val="99"/>
    <w:semiHidden/>
    <w:unhideWhenUsed/>
    <w:rsid w:val="00A43988"/>
  </w:style>
  <w:style w:type="character" w:styleId="CommentReference">
    <w:name w:val="annotation reference"/>
    <w:basedOn w:val="DefaultParagraphFont"/>
    <w:semiHidden/>
    <w:unhideWhenUsed/>
    <w:rsid w:val="00DD02B8"/>
    <w:rPr>
      <w:sz w:val="16"/>
      <w:szCs w:val="16"/>
    </w:rPr>
  </w:style>
  <w:style w:type="paragraph" w:styleId="CommentText">
    <w:name w:val="annotation text"/>
    <w:basedOn w:val="Normal"/>
    <w:link w:val="CommentTextChar"/>
    <w:semiHidden/>
    <w:unhideWhenUsed/>
    <w:rsid w:val="00DD02B8"/>
    <w:rPr>
      <w:sz w:val="20"/>
      <w:szCs w:val="20"/>
    </w:rPr>
  </w:style>
  <w:style w:type="character" w:customStyle="1" w:styleId="CommentTextChar">
    <w:name w:val="Comment Text Char"/>
    <w:basedOn w:val="DefaultParagraphFont"/>
    <w:link w:val="CommentText"/>
    <w:semiHidden/>
    <w:rsid w:val="00DD02B8"/>
    <w:rPr>
      <w:lang w:val="en-GB" w:eastAsia="en-GB"/>
    </w:rPr>
  </w:style>
  <w:style w:type="paragraph" w:styleId="CommentSubject">
    <w:name w:val="annotation subject"/>
    <w:basedOn w:val="CommentText"/>
    <w:next w:val="CommentText"/>
    <w:link w:val="CommentSubjectChar"/>
    <w:semiHidden/>
    <w:unhideWhenUsed/>
    <w:rsid w:val="00DD02B8"/>
    <w:rPr>
      <w:b/>
      <w:bCs/>
    </w:rPr>
  </w:style>
  <w:style w:type="character" w:customStyle="1" w:styleId="CommentSubjectChar">
    <w:name w:val="Comment Subject Char"/>
    <w:basedOn w:val="CommentTextChar"/>
    <w:link w:val="CommentSubject"/>
    <w:semiHidden/>
    <w:rsid w:val="00DD02B8"/>
    <w:rPr>
      <w:b/>
      <w:bCs/>
      <w:lang w:val="en-GB" w:eastAsia="en-GB"/>
    </w:rPr>
  </w:style>
  <w:style w:type="character" w:customStyle="1" w:styleId="UnresolvedMention6">
    <w:name w:val="Unresolved Mention6"/>
    <w:basedOn w:val="DefaultParagraphFont"/>
    <w:uiPriority w:val="99"/>
    <w:semiHidden/>
    <w:unhideWhenUsed/>
    <w:rsid w:val="00E30384"/>
    <w:rPr>
      <w:color w:val="605E5C"/>
      <w:shd w:val="clear" w:color="auto" w:fill="E1DFDD"/>
    </w:rPr>
  </w:style>
  <w:style w:type="paragraph" w:styleId="Revision">
    <w:name w:val="Revision"/>
    <w:hidden/>
    <w:uiPriority w:val="99"/>
    <w:semiHidden/>
    <w:rsid w:val="006263C0"/>
    <w:rPr>
      <w:sz w:val="24"/>
      <w:szCs w:val="24"/>
      <w:lang w:val="en-GB" w:eastAsia="en-GB"/>
    </w:rPr>
  </w:style>
  <w:style w:type="character" w:styleId="UnresolvedMention">
    <w:name w:val="Unresolved Mention"/>
    <w:basedOn w:val="DefaultParagraphFont"/>
    <w:uiPriority w:val="99"/>
    <w:semiHidden/>
    <w:unhideWhenUsed/>
    <w:rsid w:val="00E0226B"/>
    <w:rPr>
      <w:color w:val="605E5C"/>
      <w:shd w:val="clear" w:color="auto" w:fill="E1DFDD"/>
    </w:rPr>
  </w:style>
  <w:style w:type="character" w:styleId="Strong">
    <w:name w:val="Strong"/>
    <w:basedOn w:val="DefaultParagraphFont"/>
    <w:qFormat/>
    <w:rsid w:val="00987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1267">
      <w:bodyDiv w:val="1"/>
      <w:marLeft w:val="0"/>
      <w:marRight w:val="0"/>
      <w:marTop w:val="0"/>
      <w:marBottom w:val="0"/>
      <w:divBdr>
        <w:top w:val="none" w:sz="0" w:space="0" w:color="auto"/>
        <w:left w:val="none" w:sz="0" w:space="0" w:color="auto"/>
        <w:bottom w:val="none" w:sz="0" w:space="0" w:color="auto"/>
        <w:right w:val="none" w:sz="0" w:space="0" w:color="auto"/>
      </w:divBdr>
    </w:div>
    <w:div w:id="88430900">
      <w:bodyDiv w:val="1"/>
      <w:marLeft w:val="0"/>
      <w:marRight w:val="0"/>
      <w:marTop w:val="0"/>
      <w:marBottom w:val="0"/>
      <w:divBdr>
        <w:top w:val="none" w:sz="0" w:space="0" w:color="auto"/>
        <w:left w:val="none" w:sz="0" w:space="0" w:color="auto"/>
        <w:bottom w:val="none" w:sz="0" w:space="0" w:color="auto"/>
        <w:right w:val="none" w:sz="0" w:space="0" w:color="auto"/>
      </w:divBdr>
    </w:div>
    <w:div w:id="92481154">
      <w:bodyDiv w:val="1"/>
      <w:marLeft w:val="0"/>
      <w:marRight w:val="0"/>
      <w:marTop w:val="0"/>
      <w:marBottom w:val="0"/>
      <w:divBdr>
        <w:top w:val="none" w:sz="0" w:space="0" w:color="auto"/>
        <w:left w:val="none" w:sz="0" w:space="0" w:color="auto"/>
        <w:bottom w:val="none" w:sz="0" w:space="0" w:color="auto"/>
        <w:right w:val="none" w:sz="0" w:space="0" w:color="auto"/>
      </w:divBdr>
    </w:div>
    <w:div w:id="95560343">
      <w:bodyDiv w:val="1"/>
      <w:marLeft w:val="0"/>
      <w:marRight w:val="0"/>
      <w:marTop w:val="0"/>
      <w:marBottom w:val="0"/>
      <w:divBdr>
        <w:top w:val="none" w:sz="0" w:space="0" w:color="auto"/>
        <w:left w:val="none" w:sz="0" w:space="0" w:color="auto"/>
        <w:bottom w:val="none" w:sz="0" w:space="0" w:color="auto"/>
        <w:right w:val="none" w:sz="0" w:space="0" w:color="auto"/>
      </w:divBdr>
    </w:div>
    <w:div w:id="115372091">
      <w:bodyDiv w:val="1"/>
      <w:marLeft w:val="0"/>
      <w:marRight w:val="0"/>
      <w:marTop w:val="0"/>
      <w:marBottom w:val="0"/>
      <w:divBdr>
        <w:top w:val="none" w:sz="0" w:space="0" w:color="auto"/>
        <w:left w:val="none" w:sz="0" w:space="0" w:color="auto"/>
        <w:bottom w:val="none" w:sz="0" w:space="0" w:color="auto"/>
        <w:right w:val="none" w:sz="0" w:space="0" w:color="auto"/>
      </w:divBdr>
    </w:div>
    <w:div w:id="179900399">
      <w:bodyDiv w:val="1"/>
      <w:marLeft w:val="0"/>
      <w:marRight w:val="0"/>
      <w:marTop w:val="0"/>
      <w:marBottom w:val="0"/>
      <w:divBdr>
        <w:top w:val="none" w:sz="0" w:space="0" w:color="auto"/>
        <w:left w:val="none" w:sz="0" w:space="0" w:color="auto"/>
        <w:bottom w:val="none" w:sz="0" w:space="0" w:color="auto"/>
        <w:right w:val="none" w:sz="0" w:space="0" w:color="auto"/>
      </w:divBdr>
    </w:div>
    <w:div w:id="216555082">
      <w:bodyDiv w:val="1"/>
      <w:marLeft w:val="0"/>
      <w:marRight w:val="0"/>
      <w:marTop w:val="0"/>
      <w:marBottom w:val="0"/>
      <w:divBdr>
        <w:top w:val="none" w:sz="0" w:space="0" w:color="auto"/>
        <w:left w:val="none" w:sz="0" w:space="0" w:color="auto"/>
        <w:bottom w:val="none" w:sz="0" w:space="0" w:color="auto"/>
        <w:right w:val="none" w:sz="0" w:space="0" w:color="auto"/>
      </w:divBdr>
    </w:div>
    <w:div w:id="226234891">
      <w:bodyDiv w:val="1"/>
      <w:marLeft w:val="0"/>
      <w:marRight w:val="0"/>
      <w:marTop w:val="0"/>
      <w:marBottom w:val="0"/>
      <w:divBdr>
        <w:top w:val="none" w:sz="0" w:space="0" w:color="auto"/>
        <w:left w:val="none" w:sz="0" w:space="0" w:color="auto"/>
        <w:bottom w:val="none" w:sz="0" w:space="0" w:color="auto"/>
        <w:right w:val="none" w:sz="0" w:space="0" w:color="auto"/>
      </w:divBdr>
    </w:div>
    <w:div w:id="255556078">
      <w:bodyDiv w:val="1"/>
      <w:marLeft w:val="0"/>
      <w:marRight w:val="0"/>
      <w:marTop w:val="0"/>
      <w:marBottom w:val="0"/>
      <w:divBdr>
        <w:top w:val="none" w:sz="0" w:space="0" w:color="auto"/>
        <w:left w:val="none" w:sz="0" w:space="0" w:color="auto"/>
        <w:bottom w:val="none" w:sz="0" w:space="0" w:color="auto"/>
        <w:right w:val="none" w:sz="0" w:space="0" w:color="auto"/>
      </w:divBdr>
    </w:div>
    <w:div w:id="266621833">
      <w:bodyDiv w:val="1"/>
      <w:marLeft w:val="0"/>
      <w:marRight w:val="0"/>
      <w:marTop w:val="0"/>
      <w:marBottom w:val="0"/>
      <w:divBdr>
        <w:top w:val="none" w:sz="0" w:space="0" w:color="auto"/>
        <w:left w:val="none" w:sz="0" w:space="0" w:color="auto"/>
        <w:bottom w:val="none" w:sz="0" w:space="0" w:color="auto"/>
        <w:right w:val="none" w:sz="0" w:space="0" w:color="auto"/>
      </w:divBdr>
      <w:divsChild>
        <w:div w:id="138114363">
          <w:marLeft w:val="0"/>
          <w:marRight w:val="0"/>
          <w:marTop w:val="0"/>
          <w:marBottom w:val="0"/>
          <w:divBdr>
            <w:top w:val="none" w:sz="0" w:space="0" w:color="auto"/>
            <w:left w:val="none" w:sz="0" w:space="0" w:color="auto"/>
            <w:bottom w:val="none" w:sz="0" w:space="0" w:color="auto"/>
            <w:right w:val="none" w:sz="0" w:space="0" w:color="auto"/>
          </w:divBdr>
        </w:div>
      </w:divsChild>
    </w:div>
    <w:div w:id="292906041">
      <w:bodyDiv w:val="1"/>
      <w:marLeft w:val="0"/>
      <w:marRight w:val="0"/>
      <w:marTop w:val="0"/>
      <w:marBottom w:val="0"/>
      <w:divBdr>
        <w:top w:val="none" w:sz="0" w:space="0" w:color="auto"/>
        <w:left w:val="none" w:sz="0" w:space="0" w:color="auto"/>
        <w:bottom w:val="none" w:sz="0" w:space="0" w:color="auto"/>
        <w:right w:val="none" w:sz="0" w:space="0" w:color="auto"/>
      </w:divBdr>
    </w:div>
    <w:div w:id="446507865">
      <w:bodyDiv w:val="1"/>
      <w:marLeft w:val="0"/>
      <w:marRight w:val="0"/>
      <w:marTop w:val="0"/>
      <w:marBottom w:val="0"/>
      <w:divBdr>
        <w:top w:val="none" w:sz="0" w:space="0" w:color="auto"/>
        <w:left w:val="none" w:sz="0" w:space="0" w:color="auto"/>
        <w:bottom w:val="none" w:sz="0" w:space="0" w:color="auto"/>
        <w:right w:val="none" w:sz="0" w:space="0" w:color="auto"/>
      </w:divBdr>
    </w:div>
    <w:div w:id="481821887">
      <w:bodyDiv w:val="1"/>
      <w:marLeft w:val="0"/>
      <w:marRight w:val="0"/>
      <w:marTop w:val="0"/>
      <w:marBottom w:val="0"/>
      <w:divBdr>
        <w:top w:val="none" w:sz="0" w:space="0" w:color="auto"/>
        <w:left w:val="none" w:sz="0" w:space="0" w:color="auto"/>
        <w:bottom w:val="none" w:sz="0" w:space="0" w:color="auto"/>
        <w:right w:val="none" w:sz="0" w:space="0" w:color="auto"/>
      </w:divBdr>
    </w:div>
    <w:div w:id="487207193">
      <w:bodyDiv w:val="1"/>
      <w:marLeft w:val="0"/>
      <w:marRight w:val="0"/>
      <w:marTop w:val="0"/>
      <w:marBottom w:val="0"/>
      <w:divBdr>
        <w:top w:val="none" w:sz="0" w:space="0" w:color="auto"/>
        <w:left w:val="none" w:sz="0" w:space="0" w:color="auto"/>
        <w:bottom w:val="none" w:sz="0" w:space="0" w:color="auto"/>
        <w:right w:val="none" w:sz="0" w:space="0" w:color="auto"/>
      </w:divBdr>
    </w:div>
    <w:div w:id="495149893">
      <w:bodyDiv w:val="1"/>
      <w:marLeft w:val="0"/>
      <w:marRight w:val="0"/>
      <w:marTop w:val="0"/>
      <w:marBottom w:val="0"/>
      <w:divBdr>
        <w:top w:val="none" w:sz="0" w:space="0" w:color="auto"/>
        <w:left w:val="none" w:sz="0" w:space="0" w:color="auto"/>
        <w:bottom w:val="none" w:sz="0" w:space="0" w:color="auto"/>
        <w:right w:val="none" w:sz="0" w:space="0" w:color="auto"/>
      </w:divBdr>
    </w:div>
    <w:div w:id="506865264">
      <w:bodyDiv w:val="1"/>
      <w:marLeft w:val="0"/>
      <w:marRight w:val="0"/>
      <w:marTop w:val="0"/>
      <w:marBottom w:val="0"/>
      <w:divBdr>
        <w:top w:val="none" w:sz="0" w:space="0" w:color="auto"/>
        <w:left w:val="none" w:sz="0" w:space="0" w:color="auto"/>
        <w:bottom w:val="none" w:sz="0" w:space="0" w:color="auto"/>
        <w:right w:val="none" w:sz="0" w:space="0" w:color="auto"/>
      </w:divBdr>
    </w:div>
    <w:div w:id="577522581">
      <w:bodyDiv w:val="1"/>
      <w:marLeft w:val="0"/>
      <w:marRight w:val="0"/>
      <w:marTop w:val="0"/>
      <w:marBottom w:val="0"/>
      <w:divBdr>
        <w:top w:val="none" w:sz="0" w:space="0" w:color="auto"/>
        <w:left w:val="none" w:sz="0" w:space="0" w:color="auto"/>
        <w:bottom w:val="none" w:sz="0" w:space="0" w:color="auto"/>
        <w:right w:val="none" w:sz="0" w:space="0" w:color="auto"/>
      </w:divBdr>
    </w:div>
    <w:div w:id="646789048">
      <w:bodyDiv w:val="1"/>
      <w:marLeft w:val="0"/>
      <w:marRight w:val="0"/>
      <w:marTop w:val="0"/>
      <w:marBottom w:val="0"/>
      <w:divBdr>
        <w:top w:val="none" w:sz="0" w:space="0" w:color="auto"/>
        <w:left w:val="none" w:sz="0" w:space="0" w:color="auto"/>
        <w:bottom w:val="none" w:sz="0" w:space="0" w:color="auto"/>
        <w:right w:val="none" w:sz="0" w:space="0" w:color="auto"/>
      </w:divBdr>
    </w:div>
    <w:div w:id="670526842">
      <w:bodyDiv w:val="1"/>
      <w:marLeft w:val="0"/>
      <w:marRight w:val="0"/>
      <w:marTop w:val="0"/>
      <w:marBottom w:val="0"/>
      <w:divBdr>
        <w:top w:val="none" w:sz="0" w:space="0" w:color="auto"/>
        <w:left w:val="none" w:sz="0" w:space="0" w:color="auto"/>
        <w:bottom w:val="none" w:sz="0" w:space="0" w:color="auto"/>
        <w:right w:val="none" w:sz="0" w:space="0" w:color="auto"/>
      </w:divBdr>
    </w:div>
    <w:div w:id="892158895">
      <w:bodyDiv w:val="1"/>
      <w:marLeft w:val="0"/>
      <w:marRight w:val="0"/>
      <w:marTop w:val="0"/>
      <w:marBottom w:val="0"/>
      <w:divBdr>
        <w:top w:val="none" w:sz="0" w:space="0" w:color="auto"/>
        <w:left w:val="none" w:sz="0" w:space="0" w:color="auto"/>
        <w:bottom w:val="none" w:sz="0" w:space="0" w:color="auto"/>
        <w:right w:val="none" w:sz="0" w:space="0" w:color="auto"/>
      </w:divBdr>
    </w:div>
    <w:div w:id="941183471">
      <w:bodyDiv w:val="1"/>
      <w:marLeft w:val="0"/>
      <w:marRight w:val="0"/>
      <w:marTop w:val="0"/>
      <w:marBottom w:val="0"/>
      <w:divBdr>
        <w:top w:val="none" w:sz="0" w:space="0" w:color="auto"/>
        <w:left w:val="none" w:sz="0" w:space="0" w:color="auto"/>
        <w:bottom w:val="none" w:sz="0" w:space="0" w:color="auto"/>
        <w:right w:val="none" w:sz="0" w:space="0" w:color="auto"/>
      </w:divBdr>
    </w:div>
    <w:div w:id="953906503">
      <w:bodyDiv w:val="1"/>
      <w:marLeft w:val="0"/>
      <w:marRight w:val="0"/>
      <w:marTop w:val="0"/>
      <w:marBottom w:val="0"/>
      <w:divBdr>
        <w:top w:val="none" w:sz="0" w:space="0" w:color="auto"/>
        <w:left w:val="none" w:sz="0" w:space="0" w:color="auto"/>
        <w:bottom w:val="none" w:sz="0" w:space="0" w:color="auto"/>
        <w:right w:val="none" w:sz="0" w:space="0" w:color="auto"/>
      </w:divBdr>
    </w:div>
    <w:div w:id="956763261">
      <w:bodyDiv w:val="1"/>
      <w:marLeft w:val="0"/>
      <w:marRight w:val="0"/>
      <w:marTop w:val="0"/>
      <w:marBottom w:val="0"/>
      <w:divBdr>
        <w:top w:val="none" w:sz="0" w:space="0" w:color="auto"/>
        <w:left w:val="none" w:sz="0" w:space="0" w:color="auto"/>
        <w:bottom w:val="none" w:sz="0" w:space="0" w:color="auto"/>
        <w:right w:val="none" w:sz="0" w:space="0" w:color="auto"/>
      </w:divBdr>
    </w:div>
    <w:div w:id="1023240067">
      <w:bodyDiv w:val="1"/>
      <w:marLeft w:val="0"/>
      <w:marRight w:val="0"/>
      <w:marTop w:val="0"/>
      <w:marBottom w:val="0"/>
      <w:divBdr>
        <w:top w:val="none" w:sz="0" w:space="0" w:color="auto"/>
        <w:left w:val="none" w:sz="0" w:space="0" w:color="auto"/>
        <w:bottom w:val="none" w:sz="0" w:space="0" w:color="auto"/>
        <w:right w:val="none" w:sz="0" w:space="0" w:color="auto"/>
      </w:divBdr>
    </w:div>
    <w:div w:id="1059590539">
      <w:bodyDiv w:val="1"/>
      <w:marLeft w:val="0"/>
      <w:marRight w:val="0"/>
      <w:marTop w:val="0"/>
      <w:marBottom w:val="0"/>
      <w:divBdr>
        <w:top w:val="none" w:sz="0" w:space="0" w:color="auto"/>
        <w:left w:val="none" w:sz="0" w:space="0" w:color="auto"/>
        <w:bottom w:val="none" w:sz="0" w:space="0" w:color="auto"/>
        <w:right w:val="none" w:sz="0" w:space="0" w:color="auto"/>
      </w:divBdr>
    </w:div>
    <w:div w:id="1129014176">
      <w:bodyDiv w:val="1"/>
      <w:marLeft w:val="0"/>
      <w:marRight w:val="0"/>
      <w:marTop w:val="0"/>
      <w:marBottom w:val="0"/>
      <w:divBdr>
        <w:top w:val="none" w:sz="0" w:space="0" w:color="auto"/>
        <w:left w:val="none" w:sz="0" w:space="0" w:color="auto"/>
        <w:bottom w:val="none" w:sz="0" w:space="0" w:color="auto"/>
        <w:right w:val="none" w:sz="0" w:space="0" w:color="auto"/>
      </w:divBdr>
    </w:div>
    <w:div w:id="1144735134">
      <w:bodyDiv w:val="1"/>
      <w:marLeft w:val="0"/>
      <w:marRight w:val="0"/>
      <w:marTop w:val="0"/>
      <w:marBottom w:val="0"/>
      <w:divBdr>
        <w:top w:val="none" w:sz="0" w:space="0" w:color="auto"/>
        <w:left w:val="none" w:sz="0" w:space="0" w:color="auto"/>
        <w:bottom w:val="none" w:sz="0" w:space="0" w:color="auto"/>
        <w:right w:val="none" w:sz="0" w:space="0" w:color="auto"/>
      </w:divBdr>
    </w:div>
    <w:div w:id="1171529188">
      <w:bodyDiv w:val="1"/>
      <w:marLeft w:val="0"/>
      <w:marRight w:val="0"/>
      <w:marTop w:val="0"/>
      <w:marBottom w:val="0"/>
      <w:divBdr>
        <w:top w:val="none" w:sz="0" w:space="0" w:color="auto"/>
        <w:left w:val="none" w:sz="0" w:space="0" w:color="auto"/>
        <w:bottom w:val="none" w:sz="0" w:space="0" w:color="auto"/>
        <w:right w:val="none" w:sz="0" w:space="0" w:color="auto"/>
      </w:divBdr>
    </w:div>
    <w:div w:id="1244922752">
      <w:bodyDiv w:val="1"/>
      <w:marLeft w:val="0"/>
      <w:marRight w:val="0"/>
      <w:marTop w:val="0"/>
      <w:marBottom w:val="0"/>
      <w:divBdr>
        <w:top w:val="none" w:sz="0" w:space="0" w:color="auto"/>
        <w:left w:val="none" w:sz="0" w:space="0" w:color="auto"/>
        <w:bottom w:val="none" w:sz="0" w:space="0" w:color="auto"/>
        <w:right w:val="none" w:sz="0" w:space="0" w:color="auto"/>
      </w:divBdr>
    </w:div>
    <w:div w:id="1290471246">
      <w:bodyDiv w:val="1"/>
      <w:marLeft w:val="0"/>
      <w:marRight w:val="0"/>
      <w:marTop w:val="0"/>
      <w:marBottom w:val="0"/>
      <w:divBdr>
        <w:top w:val="none" w:sz="0" w:space="0" w:color="auto"/>
        <w:left w:val="none" w:sz="0" w:space="0" w:color="auto"/>
        <w:bottom w:val="none" w:sz="0" w:space="0" w:color="auto"/>
        <w:right w:val="none" w:sz="0" w:space="0" w:color="auto"/>
      </w:divBdr>
    </w:div>
    <w:div w:id="1337927913">
      <w:bodyDiv w:val="1"/>
      <w:marLeft w:val="0"/>
      <w:marRight w:val="0"/>
      <w:marTop w:val="0"/>
      <w:marBottom w:val="0"/>
      <w:divBdr>
        <w:top w:val="none" w:sz="0" w:space="0" w:color="auto"/>
        <w:left w:val="none" w:sz="0" w:space="0" w:color="auto"/>
        <w:bottom w:val="none" w:sz="0" w:space="0" w:color="auto"/>
        <w:right w:val="none" w:sz="0" w:space="0" w:color="auto"/>
      </w:divBdr>
    </w:div>
    <w:div w:id="1382826568">
      <w:bodyDiv w:val="1"/>
      <w:marLeft w:val="0"/>
      <w:marRight w:val="0"/>
      <w:marTop w:val="0"/>
      <w:marBottom w:val="0"/>
      <w:divBdr>
        <w:top w:val="none" w:sz="0" w:space="0" w:color="auto"/>
        <w:left w:val="none" w:sz="0" w:space="0" w:color="auto"/>
        <w:bottom w:val="none" w:sz="0" w:space="0" w:color="auto"/>
        <w:right w:val="none" w:sz="0" w:space="0" w:color="auto"/>
      </w:divBdr>
    </w:div>
    <w:div w:id="1405837728">
      <w:bodyDiv w:val="1"/>
      <w:marLeft w:val="0"/>
      <w:marRight w:val="0"/>
      <w:marTop w:val="0"/>
      <w:marBottom w:val="0"/>
      <w:divBdr>
        <w:top w:val="none" w:sz="0" w:space="0" w:color="auto"/>
        <w:left w:val="none" w:sz="0" w:space="0" w:color="auto"/>
        <w:bottom w:val="none" w:sz="0" w:space="0" w:color="auto"/>
        <w:right w:val="none" w:sz="0" w:space="0" w:color="auto"/>
      </w:divBdr>
    </w:div>
    <w:div w:id="1414164574">
      <w:bodyDiv w:val="1"/>
      <w:marLeft w:val="0"/>
      <w:marRight w:val="0"/>
      <w:marTop w:val="0"/>
      <w:marBottom w:val="0"/>
      <w:divBdr>
        <w:top w:val="none" w:sz="0" w:space="0" w:color="auto"/>
        <w:left w:val="none" w:sz="0" w:space="0" w:color="auto"/>
        <w:bottom w:val="none" w:sz="0" w:space="0" w:color="auto"/>
        <w:right w:val="none" w:sz="0" w:space="0" w:color="auto"/>
      </w:divBdr>
    </w:div>
    <w:div w:id="1416635525">
      <w:bodyDiv w:val="1"/>
      <w:marLeft w:val="0"/>
      <w:marRight w:val="0"/>
      <w:marTop w:val="0"/>
      <w:marBottom w:val="0"/>
      <w:divBdr>
        <w:top w:val="none" w:sz="0" w:space="0" w:color="auto"/>
        <w:left w:val="none" w:sz="0" w:space="0" w:color="auto"/>
        <w:bottom w:val="none" w:sz="0" w:space="0" w:color="auto"/>
        <w:right w:val="none" w:sz="0" w:space="0" w:color="auto"/>
      </w:divBdr>
    </w:div>
    <w:div w:id="1501889642">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19211">
      <w:bodyDiv w:val="1"/>
      <w:marLeft w:val="0"/>
      <w:marRight w:val="0"/>
      <w:marTop w:val="0"/>
      <w:marBottom w:val="0"/>
      <w:divBdr>
        <w:top w:val="none" w:sz="0" w:space="0" w:color="auto"/>
        <w:left w:val="none" w:sz="0" w:space="0" w:color="auto"/>
        <w:bottom w:val="none" w:sz="0" w:space="0" w:color="auto"/>
        <w:right w:val="none" w:sz="0" w:space="0" w:color="auto"/>
      </w:divBdr>
    </w:div>
    <w:div w:id="1808623647">
      <w:bodyDiv w:val="1"/>
      <w:marLeft w:val="0"/>
      <w:marRight w:val="0"/>
      <w:marTop w:val="0"/>
      <w:marBottom w:val="0"/>
      <w:divBdr>
        <w:top w:val="none" w:sz="0" w:space="0" w:color="auto"/>
        <w:left w:val="none" w:sz="0" w:space="0" w:color="auto"/>
        <w:bottom w:val="none" w:sz="0" w:space="0" w:color="auto"/>
        <w:right w:val="none" w:sz="0" w:space="0" w:color="auto"/>
      </w:divBdr>
    </w:div>
    <w:div w:id="1997293263">
      <w:bodyDiv w:val="1"/>
      <w:marLeft w:val="0"/>
      <w:marRight w:val="0"/>
      <w:marTop w:val="0"/>
      <w:marBottom w:val="0"/>
      <w:divBdr>
        <w:top w:val="none" w:sz="0" w:space="0" w:color="auto"/>
        <w:left w:val="none" w:sz="0" w:space="0" w:color="auto"/>
        <w:bottom w:val="none" w:sz="0" w:space="0" w:color="auto"/>
        <w:right w:val="none" w:sz="0" w:space="0" w:color="auto"/>
      </w:divBdr>
    </w:div>
    <w:div w:id="2115860713">
      <w:bodyDiv w:val="1"/>
      <w:marLeft w:val="0"/>
      <w:marRight w:val="0"/>
      <w:marTop w:val="0"/>
      <w:marBottom w:val="0"/>
      <w:divBdr>
        <w:top w:val="none" w:sz="0" w:space="0" w:color="auto"/>
        <w:left w:val="none" w:sz="0" w:space="0" w:color="auto"/>
        <w:bottom w:val="none" w:sz="0" w:space="0" w:color="auto"/>
        <w:right w:val="none" w:sz="0" w:space="0" w:color="auto"/>
      </w:divBdr>
    </w:div>
    <w:div w:id="21237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8/42/contents" TargetMode="External"/><Relationship Id="rId18" Type="http://schemas.openxmlformats.org/officeDocument/2006/relationships/hyperlink" Target="https://www.mariecurie.org.uk/" TargetMode="External"/><Relationship Id="rId26" Type="http://schemas.openxmlformats.org/officeDocument/2006/relationships/hyperlink" Target="https://www.legislation.gov.uk/ukpga/2005/9/contents" TargetMode="External"/><Relationship Id="rId39" Type="http://schemas.openxmlformats.org/officeDocument/2006/relationships/footer" Target="footer3.xml"/><Relationship Id="rId21" Type="http://schemas.openxmlformats.org/officeDocument/2006/relationships/hyperlink" Target="https://www.england.nhs.uk/long-read/dnacpr-and-people-with-a-learning-disability-and-or-autism/" TargetMode="External"/><Relationship Id="rId34" Type="http://schemas.openxmlformats.org/officeDocument/2006/relationships/hyperlink" Target="https://executive.nhs.wales/functions/networks-and-planning/peolc/professionals/dnacp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us.org.uk/respect/respect-healthcare-professionals" TargetMode="External"/><Relationship Id="rId20" Type="http://schemas.openxmlformats.org/officeDocument/2006/relationships/hyperlink" Target="https://www.ageuk.org.uk/" TargetMode="External"/><Relationship Id="rId29" Type="http://schemas.openxmlformats.org/officeDocument/2006/relationships/hyperlink" Target="https://www.england.nhs.uk/north-west/wp-content/uploads/sites/48/2021/11/Electronic-uDNACPR-NW-form-v1-2.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us.org.uk/sites/default/files/2020-05/20160123%20Decisions%20Relating%20to%20CPR%20-%202016.pdf" TargetMode="External"/><Relationship Id="rId24" Type="http://schemas.openxmlformats.org/officeDocument/2006/relationships/hyperlink" Target="https://www.themdu.com/guidance-and-advice/guides/dnacpr-orders" TargetMode="External"/><Relationship Id="rId32" Type="http://schemas.openxmlformats.org/officeDocument/2006/relationships/hyperlink" Target="https://www.legislation.gov.uk/asp/2003/13/contents"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wp-content/uploads/2022/03/universal-principles-for-advance-care-planning.pdf" TargetMode="External"/><Relationship Id="rId23" Type="http://schemas.openxmlformats.org/officeDocument/2006/relationships/hyperlink" Target="https://www.nhs.uk/conditions/end-of-life-care/advance-decision-to-refuse-treatment/" TargetMode="External"/><Relationship Id="rId28" Type="http://schemas.openxmlformats.org/officeDocument/2006/relationships/hyperlink" Target="https://www.nhs.uk/conditions/do-not-attempt-cardiopulmonary-resuscitation-dnacpr-decisions/" TargetMode="External"/><Relationship Id="rId36" Type="http://schemas.openxmlformats.org/officeDocument/2006/relationships/hyperlink" Target="https://www.nice.org.uk/guidance/ng108" TargetMode="External"/><Relationship Id="rId10" Type="http://schemas.openxmlformats.org/officeDocument/2006/relationships/footer" Target="footer2.xml"/><Relationship Id="rId19" Type="http://schemas.openxmlformats.org/officeDocument/2006/relationships/hyperlink" Target="https://www.hospiceuk.org/our-campaigns/dying-matters" TargetMode="External"/><Relationship Id="rId31" Type="http://schemas.openxmlformats.org/officeDocument/2006/relationships/hyperlink" Target="https://www.legislation.gov.uk/asp/2000/4/cont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mc-uk.org/ethical-guidance/ethical-guidance-for-doctors/treatment-and-care-towards-the-end-of-life/decision-making-models" TargetMode="External"/><Relationship Id="rId22" Type="http://schemas.openxmlformats.org/officeDocument/2006/relationships/hyperlink" Target="https://www.england.nhs.uk/publication/universal-principles-for-advance-care-planning/" TargetMode="External"/><Relationship Id="rId27" Type="http://schemas.openxmlformats.org/officeDocument/2006/relationships/hyperlink" Target="https://www.cqc.org.uk/guidance-providers/gps/gp-mythbusters/gp-mythbuster-105-do-not-attempt-cardiopulmonary-resuscitation-dnacpr" TargetMode="External"/><Relationship Id="rId30" Type="http://schemas.openxmlformats.org/officeDocument/2006/relationships/hyperlink" Target="https://www.legislation.gov.uk/nia/2016/18/contents/enacted" TargetMode="External"/><Relationship Id="rId35" Type="http://schemas.openxmlformats.org/officeDocument/2006/relationships/hyperlink" Target="https://www.bma.org.uk/ethic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legislation.gov.uk/ukpga/2010/15/contents/enacted" TargetMode="External"/><Relationship Id="rId17" Type="http://schemas.openxmlformats.org/officeDocument/2006/relationships/hyperlink" Target="https://www.macmillan.org.uk/dfsmedia/1a6f23537f7f4519bb0cf14c45b2a629/12645-10061/my-advance-decision-to-refuse-treatment-adrt-document" TargetMode="External"/><Relationship Id="rId25" Type="http://schemas.openxmlformats.org/officeDocument/2006/relationships/hyperlink" Target="https://www.gmc-uk.org/ethical-guidance/ethical-guidance-for-doctors/treatment-and-care-towards-the-end-of-life/cardiopulmonary-resuscitation-cpr" TargetMode="External"/><Relationship Id="rId33" Type="http://schemas.openxmlformats.org/officeDocument/2006/relationships/hyperlink" Target="https://www.legislation.gov.uk/ukpga/2005/9/contents"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9CF8-FAD4-4C42-8A84-234F68E0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2025-01-15T13:30:00Z</dcterms:created>
  <dcterms:modified xsi:type="dcterms:W3CDTF">2025-01-15T13:30:00Z</dcterms:modified>
</cp:coreProperties>
</file>