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77777777" w:rsidR="00CD211E" w:rsidRDefault="00CD211E"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122"/>
        <w:gridCol w:w="2210"/>
        <w:gridCol w:w="3269"/>
      </w:tblGrid>
      <w:tr w:rsidR="00AA05DE" w:rsidRPr="00CD3C24" w14:paraId="177849D0" w14:textId="77777777" w:rsidTr="0022568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A6BF93" w14:textId="77777777" w:rsidR="00AA05DE" w:rsidRPr="00B34E05" w:rsidRDefault="00AA05DE" w:rsidP="00261AFE">
            <w:pPr>
              <w:jc w:val="center"/>
              <w:rPr>
                <w:rFonts w:ascii="Arial" w:eastAsia="Arial" w:hAnsi="Arial" w:cs="Arial"/>
                <w:b/>
                <w:spacing w:val="-2"/>
                <w:sz w:val="26"/>
                <w:szCs w:val="26"/>
              </w:rPr>
            </w:pPr>
            <w:r w:rsidRPr="00B34E05">
              <w:rPr>
                <w:rFonts w:ascii="Arial" w:eastAsia="Arial" w:hAnsi="Arial" w:cs="Arial"/>
                <w:b/>
                <w:spacing w:val="-2"/>
                <w:sz w:val="26"/>
                <w:szCs w:val="26"/>
              </w:rPr>
              <w:t>Version:</w:t>
            </w:r>
          </w:p>
        </w:tc>
        <w:tc>
          <w:tcPr>
            <w:tcW w:w="20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105BB2" w14:textId="77777777" w:rsidR="00AA05DE" w:rsidRPr="00B34E05" w:rsidRDefault="00AA05DE" w:rsidP="00261AFE">
            <w:pPr>
              <w:jc w:val="center"/>
              <w:rPr>
                <w:rFonts w:ascii="Arial" w:eastAsia="Arial" w:hAnsi="Arial" w:cs="Arial"/>
                <w:b/>
                <w:spacing w:val="-2"/>
                <w:sz w:val="26"/>
                <w:szCs w:val="26"/>
              </w:rPr>
            </w:pPr>
            <w:r w:rsidRPr="00B34E05">
              <w:rPr>
                <w:rFonts w:ascii="Arial" w:eastAsia="Arial" w:hAnsi="Arial" w:cs="Arial"/>
                <w:b/>
                <w:spacing w:val="-2"/>
                <w:sz w:val="26"/>
                <w:szCs w:val="26"/>
              </w:rPr>
              <w:t>Review date:</w:t>
            </w:r>
          </w:p>
        </w:tc>
        <w:tc>
          <w:tcPr>
            <w:tcW w:w="212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79A87B8" w14:textId="77777777" w:rsidR="00AA05DE" w:rsidRPr="00B34E05" w:rsidRDefault="00AA05DE" w:rsidP="00261AFE">
            <w:pPr>
              <w:jc w:val="center"/>
              <w:rPr>
                <w:rFonts w:ascii="Arial" w:eastAsia="Arial" w:hAnsi="Arial" w:cs="Arial"/>
                <w:b/>
                <w:spacing w:val="-2"/>
                <w:sz w:val="26"/>
                <w:szCs w:val="26"/>
              </w:rPr>
            </w:pPr>
            <w:r w:rsidRPr="00B34E05">
              <w:rPr>
                <w:rFonts w:ascii="Arial" w:eastAsia="Arial" w:hAnsi="Arial" w:cs="Arial"/>
                <w:b/>
                <w:spacing w:val="-2"/>
                <w:sz w:val="26"/>
                <w:szCs w:val="26"/>
              </w:rPr>
              <w:t>Edited by:</w:t>
            </w:r>
          </w:p>
        </w:tc>
        <w:tc>
          <w:tcPr>
            <w:tcW w:w="22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E555F55" w14:textId="77777777" w:rsidR="00AA05DE" w:rsidRPr="00B34E05" w:rsidRDefault="00AA05DE" w:rsidP="00261AFE">
            <w:pPr>
              <w:jc w:val="center"/>
              <w:rPr>
                <w:rFonts w:ascii="Arial" w:eastAsia="Arial" w:hAnsi="Arial" w:cs="Arial"/>
                <w:b/>
                <w:spacing w:val="-2"/>
                <w:sz w:val="26"/>
                <w:szCs w:val="26"/>
              </w:rPr>
            </w:pPr>
            <w:r w:rsidRPr="00B34E05">
              <w:rPr>
                <w:rFonts w:ascii="Arial" w:eastAsia="Arial" w:hAnsi="Arial" w:cs="Arial"/>
                <w:b/>
                <w:spacing w:val="-2"/>
                <w:sz w:val="26"/>
                <w:szCs w:val="26"/>
              </w:rPr>
              <w:t>Approved by:</w:t>
            </w:r>
          </w:p>
        </w:tc>
        <w:tc>
          <w:tcPr>
            <w:tcW w:w="32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371046" w14:textId="77777777" w:rsidR="00AA05DE" w:rsidRPr="00B34E05" w:rsidRDefault="00AA05DE" w:rsidP="00261AFE">
            <w:pPr>
              <w:jc w:val="center"/>
              <w:rPr>
                <w:rFonts w:ascii="Arial" w:eastAsia="Arial" w:hAnsi="Arial" w:cs="Arial"/>
                <w:b/>
                <w:spacing w:val="-2"/>
                <w:sz w:val="26"/>
                <w:szCs w:val="26"/>
              </w:rPr>
            </w:pPr>
            <w:r w:rsidRPr="00B34E05">
              <w:rPr>
                <w:rFonts w:ascii="Arial" w:eastAsia="Arial" w:hAnsi="Arial" w:cs="Arial"/>
                <w:b/>
                <w:spacing w:val="-2"/>
                <w:sz w:val="26"/>
                <w:szCs w:val="26"/>
              </w:rPr>
              <w:t>Comments:</w:t>
            </w:r>
          </w:p>
        </w:tc>
      </w:tr>
      <w:tr w:rsidR="00AA05DE" w:rsidRPr="00CD3C24" w14:paraId="24469599" w14:textId="77777777" w:rsidTr="0022568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7CB4781E" w14:textId="0BBE0789" w:rsidR="00AA05DE" w:rsidRPr="00B34E05" w:rsidRDefault="00225688" w:rsidP="00225688">
            <w:pPr>
              <w:jc w:val="center"/>
              <w:rPr>
                <w:rFonts w:ascii="Arial" w:eastAsia="Arial" w:hAnsi="Arial" w:cs="Arial"/>
                <w:spacing w:val="-2"/>
                <w:sz w:val="26"/>
                <w:szCs w:val="26"/>
              </w:rPr>
            </w:pPr>
            <w:r>
              <w:rPr>
                <w:rFonts w:ascii="Arial" w:eastAsia="Arial" w:hAnsi="Arial" w:cs="Arial"/>
                <w:spacing w:val="-2"/>
                <w:sz w:val="26"/>
                <w:szCs w:val="26"/>
              </w:rPr>
              <w:t>v1</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327102A6" w14:textId="14519270" w:rsidR="00AA05DE" w:rsidRPr="00B34E05" w:rsidRDefault="00225688" w:rsidP="00261AFE">
            <w:pPr>
              <w:rPr>
                <w:rFonts w:ascii="Arial" w:eastAsia="Arial" w:hAnsi="Arial" w:cs="Arial"/>
                <w:spacing w:val="-2"/>
                <w:sz w:val="26"/>
                <w:szCs w:val="26"/>
              </w:rPr>
            </w:pPr>
            <w:r>
              <w:rPr>
                <w:rFonts w:ascii="Arial" w:eastAsia="Arial" w:hAnsi="Arial" w:cs="Arial"/>
                <w:spacing w:val="-2"/>
                <w:sz w:val="26"/>
                <w:szCs w:val="26"/>
              </w:rPr>
              <w:t>2</w:t>
            </w:r>
            <w:r>
              <w:rPr>
                <w:rFonts w:eastAsia="Arial"/>
                <w:spacing w:val="-2"/>
                <w:sz w:val="26"/>
                <w:szCs w:val="26"/>
              </w:rPr>
              <w:t>2/03/2021</w:t>
            </w: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347F5593" w14:textId="428998A2" w:rsidR="00AA05DE" w:rsidRPr="00B34E05" w:rsidRDefault="00225688" w:rsidP="00261AFE">
            <w:pPr>
              <w:rPr>
                <w:rFonts w:ascii="Arial" w:eastAsia="Arial" w:hAnsi="Arial" w:cs="Arial"/>
                <w:spacing w:val="-2"/>
                <w:sz w:val="26"/>
                <w:szCs w:val="26"/>
              </w:rPr>
            </w:pPr>
            <w:r>
              <w:rPr>
                <w:rFonts w:ascii="Arial" w:eastAsia="Arial" w:hAnsi="Arial" w:cs="Arial"/>
                <w:spacing w:val="-2"/>
                <w:sz w:val="26"/>
                <w:szCs w:val="26"/>
              </w:rPr>
              <w:t>S</w:t>
            </w:r>
            <w:r>
              <w:rPr>
                <w:rFonts w:eastAsia="Arial"/>
                <w:spacing w:val="-2"/>
                <w:sz w:val="26"/>
                <w:szCs w:val="26"/>
              </w:rPr>
              <w:t>ultan Mohamed</w:t>
            </w:r>
          </w:p>
        </w:tc>
        <w:tc>
          <w:tcPr>
            <w:tcW w:w="2210" w:type="dxa"/>
            <w:tcBorders>
              <w:top w:val="single" w:sz="4" w:space="0" w:color="333333"/>
              <w:left w:val="single" w:sz="4" w:space="0" w:color="333333"/>
              <w:bottom w:val="single" w:sz="4" w:space="0" w:color="333333"/>
              <w:right w:val="single" w:sz="4" w:space="0" w:color="333333"/>
            </w:tcBorders>
            <w:shd w:val="clear" w:color="auto" w:fill="auto"/>
          </w:tcPr>
          <w:p w14:paraId="1402B5E2" w14:textId="2E29DBC4" w:rsidR="00AA05DE" w:rsidRPr="00B34E05" w:rsidRDefault="00225688" w:rsidP="00261AFE">
            <w:pPr>
              <w:rPr>
                <w:rFonts w:ascii="Arial" w:eastAsia="Arial" w:hAnsi="Arial" w:cs="Arial"/>
                <w:spacing w:val="-2"/>
                <w:sz w:val="26"/>
                <w:szCs w:val="26"/>
              </w:rPr>
            </w:pPr>
            <w:r>
              <w:rPr>
                <w:rFonts w:ascii="Arial" w:eastAsia="Arial" w:hAnsi="Arial" w:cs="Arial"/>
                <w:spacing w:val="-2"/>
                <w:sz w:val="26"/>
                <w:szCs w:val="26"/>
              </w:rPr>
              <w:t>M</w:t>
            </w:r>
            <w:r>
              <w:rPr>
                <w:rFonts w:eastAsia="Arial"/>
                <w:spacing w:val="-2"/>
                <w:sz w:val="26"/>
                <w:szCs w:val="26"/>
              </w:rPr>
              <w:t>unira Mohamed</w:t>
            </w: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47084B89" w14:textId="77777777" w:rsidR="00AA05DE" w:rsidRPr="00B34E05" w:rsidRDefault="00AA05DE" w:rsidP="00261AFE">
            <w:pPr>
              <w:rPr>
                <w:rFonts w:ascii="Arial" w:hAnsi="Arial" w:cs="Arial"/>
                <w:sz w:val="26"/>
                <w:szCs w:val="26"/>
              </w:rPr>
            </w:pPr>
          </w:p>
        </w:tc>
      </w:tr>
      <w:tr w:rsidR="000F5315" w:rsidRPr="00CD3C24" w14:paraId="2D5920C7" w14:textId="77777777" w:rsidTr="000F5315">
        <w:trPr>
          <w:trHeight w:val="446"/>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2E5C55B" w14:textId="69AB51B7" w:rsidR="000F5315" w:rsidRPr="00B34E05" w:rsidRDefault="000F5315" w:rsidP="000F5315">
            <w:pPr>
              <w:jc w:val="center"/>
              <w:rPr>
                <w:rFonts w:ascii="Arial" w:hAnsi="Arial" w:cs="Arial"/>
                <w:sz w:val="26"/>
                <w:szCs w:val="26"/>
              </w:rPr>
            </w:pPr>
            <w:r>
              <w:rPr>
                <w:rFonts w:ascii="Arial" w:hAnsi="Arial" w:cs="Arial"/>
                <w:sz w:val="26"/>
                <w:szCs w:val="26"/>
              </w:rPr>
              <w:t>v2</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03D1056F" w14:textId="1F3F888E" w:rsidR="000F5315" w:rsidRPr="00B34E05" w:rsidRDefault="000F5315" w:rsidP="000F5315">
            <w:pPr>
              <w:rPr>
                <w:rFonts w:ascii="Arial" w:hAnsi="Arial" w:cs="Arial"/>
                <w:sz w:val="26"/>
                <w:szCs w:val="26"/>
              </w:rPr>
            </w:pPr>
            <w:r>
              <w:rPr>
                <w:rFonts w:ascii="Arial" w:hAnsi="Arial" w:cs="Arial"/>
                <w:sz w:val="26"/>
                <w:szCs w:val="26"/>
              </w:rPr>
              <w:t>30/05/</w:t>
            </w:r>
            <w:r>
              <w:rPr>
                <w:sz w:val="26"/>
                <w:szCs w:val="26"/>
              </w:rPr>
              <w:t>2023</w:t>
            </w: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04CA30D8" w14:textId="4D0DFC48" w:rsidR="000F5315" w:rsidRPr="00B34E05" w:rsidRDefault="000F5315" w:rsidP="000F5315">
            <w:pPr>
              <w:rPr>
                <w:rFonts w:ascii="Arial" w:hAnsi="Arial" w:cs="Arial"/>
                <w:sz w:val="26"/>
                <w:szCs w:val="26"/>
              </w:rPr>
            </w:pPr>
            <w:r>
              <w:rPr>
                <w:rFonts w:ascii="Arial" w:eastAsia="Arial" w:hAnsi="Arial" w:cs="Arial"/>
                <w:spacing w:val="-2"/>
                <w:sz w:val="26"/>
                <w:szCs w:val="26"/>
              </w:rPr>
              <w:t>S</w:t>
            </w:r>
            <w:r>
              <w:rPr>
                <w:rFonts w:eastAsia="Arial"/>
                <w:spacing w:val="-2"/>
                <w:sz w:val="26"/>
                <w:szCs w:val="26"/>
              </w:rPr>
              <w:t>ultan Mohamed</w:t>
            </w:r>
          </w:p>
        </w:tc>
        <w:tc>
          <w:tcPr>
            <w:tcW w:w="2210" w:type="dxa"/>
            <w:tcBorders>
              <w:top w:val="single" w:sz="4" w:space="0" w:color="333333"/>
              <w:left w:val="single" w:sz="4" w:space="0" w:color="333333"/>
              <w:bottom w:val="single" w:sz="4" w:space="0" w:color="333333"/>
              <w:right w:val="single" w:sz="4" w:space="0" w:color="333333"/>
            </w:tcBorders>
            <w:shd w:val="clear" w:color="auto" w:fill="auto"/>
          </w:tcPr>
          <w:p w14:paraId="5BC086D0" w14:textId="2C94461A" w:rsidR="000F5315" w:rsidRPr="00B34E05" w:rsidRDefault="000F5315" w:rsidP="000F5315">
            <w:pPr>
              <w:rPr>
                <w:rFonts w:ascii="Arial" w:hAnsi="Arial" w:cs="Arial"/>
                <w:sz w:val="26"/>
                <w:szCs w:val="26"/>
              </w:rPr>
            </w:pPr>
            <w:r>
              <w:rPr>
                <w:rFonts w:ascii="Arial" w:eastAsia="Arial" w:hAnsi="Arial" w:cs="Arial"/>
                <w:spacing w:val="-2"/>
                <w:sz w:val="26"/>
                <w:szCs w:val="26"/>
              </w:rPr>
              <w:t>M</w:t>
            </w:r>
            <w:r>
              <w:rPr>
                <w:rFonts w:eastAsia="Arial"/>
                <w:spacing w:val="-2"/>
                <w:sz w:val="26"/>
                <w:szCs w:val="26"/>
              </w:rPr>
              <w:t>unira Mohamed</w:t>
            </w: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0400CA2F" w14:textId="63C45DA8" w:rsidR="000F5315" w:rsidRPr="00B34E05" w:rsidRDefault="000F5315" w:rsidP="000F5315">
            <w:pPr>
              <w:rPr>
                <w:rFonts w:ascii="Arial" w:hAnsi="Arial" w:cs="Arial"/>
                <w:sz w:val="26"/>
                <w:szCs w:val="26"/>
              </w:rPr>
            </w:pPr>
          </w:p>
        </w:tc>
      </w:tr>
      <w:tr w:rsidR="006F7882" w:rsidRPr="00CD3C24" w14:paraId="3A79067B" w14:textId="77777777" w:rsidTr="00225688">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F4B3282" w14:textId="77777777" w:rsidR="006F7882" w:rsidRPr="00B34E05" w:rsidRDefault="006F7882" w:rsidP="006F7882">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12DD7242" w14:textId="236FEA28" w:rsidR="006F7882" w:rsidRPr="00B34E05" w:rsidRDefault="000F5315" w:rsidP="006F7882">
            <w:pPr>
              <w:rPr>
                <w:rFonts w:ascii="Arial" w:hAnsi="Arial" w:cs="Arial"/>
                <w:sz w:val="26"/>
                <w:szCs w:val="26"/>
              </w:rPr>
            </w:pPr>
            <w:r>
              <w:rPr>
                <w:rFonts w:ascii="Arial" w:hAnsi="Arial" w:cs="Arial"/>
                <w:sz w:val="26"/>
                <w:szCs w:val="26"/>
              </w:rPr>
              <w:t>May</w:t>
            </w:r>
            <w:r w:rsidR="006F7882">
              <w:rPr>
                <w:sz w:val="26"/>
                <w:szCs w:val="26"/>
              </w:rPr>
              <w:t xml:space="preserve"> 202</w:t>
            </w:r>
            <w:r>
              <w:rPr>
                <w:sz w:val="26"/>
                <w:szCs w:val="26"/>
              </w:rPr>
              <w:t>5</w:t>
            </w: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5474F6F6" w14:textId="77777777" w:rsidR="006F7882" w:rsidRPr="00B34E05" w:rsidRDefault="006F7882" w:rsidP="006F7882">
            <w:pPr>
              <w:rPr>
                <w:rFonts w:ascii="Arial" w:hAnsi="Arial" w:cs="Arial"/>
                <w:sz w:val="26"/>
                <w:szCs w:val="26"/>
              </w:rPr>
            </w:pPr>
          </w:p>
        </w:tc>
        <w:tc>
          <w:tcPr>
            <w:tcW w:w="2210" w:type="dxa"/>
            <w:tcBorders>
              <w:top w:val="single" w:sz="4" w:space="0" w:color="333333"/>
              <w:left w:val="single" w:sz="4" w:space="0" w:color="333333"/>
              <w:bottom w:val="single" w:sz="4" w:space="0" w:color="333333"/>
              <w:right w:val="single" w:sz="4" w:space="0" w:color="333333"/>
            </w:tcBorders>
            <w:shd w:val="clear" w:color="auto" w:fill="auto"/>
          </w:tcPr>
          <w:p w14:paraId="263322EC" w14:textId="77777777" w:rsidR="006F7882" w:rsidRPr="00B34E05" w:rsidRDefault="006F7882" w:rsidP="006F7882">
            <w:pPr>
              <w:rPr>
                <w:rFonts w:ascii="Arial" w:hAnsi="Arial" w:cs="Arial"/>
                <w:sz w:val="26"/>
                <w:szCs w:val="26"/>
              </w:rPr>
            </w:pP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12CF6C43" w14:textId="5D9928A8" w:rsidR="006F7882" w:rsidRPr="00B34E05" w:rsidRDefault="006F7882" w:rsidP="006F7882">
            <w:pPr>
              <w:rPr>
                <w:rFonts w:ascii="Arial" w:hAnsi="Arial" w:cs="Arial"/>
                <w:sz w:val="26"/>
                <w:szCs w:val="26"/>
              </w:rPr>
            </w:pPr>
            <w:r>
              <w:rPr>
                <w:rFonts w:ascii="Arial" w:hAnsi="Arial" w:cs="Arial"/>
                <w:sz w:val="26"/>
                <w:szCs w:val="26"/>
              </w:rPr>
              <w:t>N</w:t>
            </w:r>
            <w:r>
              <w:rPr>
                <w:sz w:val="26"/>
                <w:szCs w:val="26"/>
              </w:rPr>
              <w:t>ext review</w:t>
            </w:r>
          </w:p>
        </w:tc>
      </w:tr>
      <w:tr w:rsidR="00AA05DE" w:rsidRPr="00CD3C24" w14:paraId="42E517C2" w14:textId="77777777" w:rsidTr="0022568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FFA62BE" w14:textId="77777777" w:rsidR="00AA05DE" w:rsidRPr="00B34E05" w:rsidRDefault="00AA05DE" w:rsidP="00261AFE">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53AAE67E" w14:textId="77777777" w:rsidR="00AA05DE" w:rsidRPr="00B34E05" w:rsidRDefault="00AA05DE" w:rsidP="00261AFE">
            <w:pPr>
              <w:rPr>
                <w:rFonts w:ascii="Arial" w:hAnsi="Arial" w:cs="Arial"/>
                <w:sz w:val="26"/>
                <w:szCs w:val="26"/>
              </w:rPr>
            </w:pP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5E5956F3" w14:textId="77777777" w:rsidR="00AA05DE" w:rsidRPr="00B34E05" w:rsidRDefault="00AA05DE" w:rsidP="00261AFE">
            <w:pPr>
              <w:rPr>
                <w:rFonts w:ascii="Arial" w:hAnsi="Arial" w:cs="Arial"/>
                <w:sz w:val="26"/>
                <w:szCs w:val="26"/>
              </w:rPr>
            </w:pPr>
          </w:p>
        </w:tc>
        <w:tc>
          <w:tcPr>
            <w:tcW w:w="2210" w:type="dxa"/>
            <w:tcBorders>
              <w:top w:val="single" w:sz="4" w:space="0" w:color="333333"/>
              <w:left w:val="single" w:sz="4" w:space="0" w:color="333333"/>
              <w:bottom w:val="single" w:sz="4" w:space="0" w:color="333333"/>
              <w:right w:val="single" w:sz="4" w:space="0" w:color="333333"/>
            </w:tcBorders>
            <w:shd w:val="clear" w:color="auto" w:fill="auto"/>
          </w:tcPr>
          <w:p w14:paraId="246986B0" w14:textId="77777777" w:rsidR="00AA05DE" w:rsidRPr="00B34E05" w:rsidRDefault="00AA05DE" w:rsidP="00261AFE">
            <w:pPr>
              <w:rPr>
                <w:rFonts w:ascii="Arial" w:hAnsi="Arial" w:cs="Arial"/>
                <w:sz w:val="26"/>
                <w:szCs w:val="26"/>
              </w:rPr>
            </w:pP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7F60E2AE" w14:textId="77777777" w:rsidR="00AA05DE" w:rsidRPr="00B34E05" w:rsidRDefault="00AA05DE" w:rsidP="00261AFE">
            <w:pPr>
              <w:rPr>
                <w:rFonts w:ascii="Arial" w:hAnsi="Arial" w:cs="Arial"/>
                <w:sz w:val="26"/>
                <w:szCs w:val="26"/>
              </w:rPr>
            </w:pPr>
          </w:p>
        </w:tc>
      </w:tr>
    </w:tbl>
    <w:p w14:paraId="5124BA27" w14:textId="77777777" w:rsidR="00AA05DE" w:rsidRDefault="00AA05DE" w:rsidP="00CD211E">
      <w:pPr>
        <w:rPr>
          <w:rFonts w:ascii="Arial" w:hAnsi="Arial" w:cs="Arial"/>
          <w:sz w:val="28"/>
          <w:szCs w:val="28"/>
        </w:rPr>
      </w:pPr>
    </w:p>
    <w:p w14:paraId="4BF69C34" w14:textId="77777777" w:rsidR="00225688" w:rsidRDefault="00225688">
      <w:pPr>
        <w:rPr>
          <w:rFonts w:ascii="Arial" w:hAnsi="Arial" w:cs="Arial"/>
          <w:b/>
          <w:sz w:val="36"/>
          <w:szCs w:val="36"/>
        </w:rPr>
      </w:pPr>
      <w:r>
        <w:rPr>
          <w:rFonts w:ascii="Arial" w:hAnsi="Arial" w:cs="Arial"/>
          <w:b/>
          <w:sz w:val="36"/>
          <w:szCs w:val="36"/>
        </w:rPr>
        <w:br w:type="page"/>
      </w:r>
    </w:p>
    <w:p w14:paraId="1A151B65" w14:textId="77777777" w:rsidR="00225688" w:rsidRDefault="00225688">
      <w:pPr>
        <w:rPr>
          <w:rFonts w:ascii="Arial" w:hAnsi="Arial" w:cs="Arial"/>
          <w:b/>
          <w:sz w:val="36"/>
          <w:szCs w:val="36"/>
        </w:rPr>
      </w:pPr>
      <w:r>
        <w:rPr>
          <w:rFonts w:ascii="Arial" w:hAnsi="Arial" w:cs="Arial"/>
          <w:b/>
          <w:sz w:val="36"/>
          <w:szCs w:val="36"/>
        </w:rPr>
        <w:lastRenderedPageBreak/>
        <w:br w:type="page"/>
      </w:r>
    </w:p>
    <w:p w14:paraId="09064609" w14:textId="4ED34544" w:rsidR="00AA05DE" w:rsidRPr="00D715E3" w:rsidRDefault="00AA05DE" w:rsidP="00AA05DE">
      <w:pPr>
        <w:jc w:val="center"/>
        <w:rPr>
          <w:rFonts w:ascii="Arial" w:hAnsi="Arial" w:cs="Arial"/>
          <w:b/>
          <w:sz w:val="36"/>
          <w:szCs w:val="36"/>
        </w:rPr>
      </w:pPr>
      <w:r w:rsidRPr="00D715E3">
        <w:rPr>
          <w:rFonts w:ascii="Arial" w:hAnsi="Arial" w:cs="Arial"/>
          <w:b/>
          <w:sz w:val="36"/>
          <w:szCs w:val="36"/>
        </w:rPr>
        <w:lastRenderedPageBreak/>
        <w:t>GP2GP Transfer Policy</w:t>
      </w:r>
    </w:p>
    <w:p w14:paraId="50B96EE8" w14:textId="77777777" w:rsidR="00AA05DE" w:rsidRDefault="00AA05DE" w:rsidP="00CD211E">
      <w:pPr>
        <w:rPr>
          <w:rFonts w:ascii="Arial" w:hAnsi="Arial" w:cs="Arial"/>
          <w:sz w:val="28"/>
          <w:szCs w:val="28"/>
        </w:rPr>
      </w:pPr>
    </w:p>
    <w:p w14:paraId="6478BA75" w14:textId="65D49069" w:rsidR="00CD211E" w:rsidRPr="00AA05DE" w:rsidRDefault="00D715E3" w:rsidP="00CD211E">
      <w:pPr>
        <w:rPr>
          <w:rFonts w:ascii="Arial" w:hAnsi="Arial" w:cs="Arial"/>
          <w:b/>
          <w:sz w:val="28"/>
          <w:szCs w:val="28"/>
        </w:rPr>
      </w:pPr>
      <w:r>
        <w:rPr>
          <w:rFonts w:ascii="Arial" w:hAnsi="Arial" w:cs="Arial"/>
          <w:b/>
          <w:sz w:val="28"/>
          <w:szCs w:val="28"/>
        </w:rPr>
        <w:t>Table of c</w:t>
      </w:r>
      <w:r w:rsidR="00CD211E" w:rsidRPr="00AA05DE">
        <w:rPr>
          <w:rFonts w:ascii="Arial" w:hAnsi="Arial" w:cs="Arial"/>
          <w:b/>
          <w:sz w:val="28"/>
          <w:szCs w:val="28"/>
        </w:rPr>
        <w:t>ontents</w:t>
      </w:r>
    </w:p>
    <w:p w14:paraId="069611A5" w14:textId="77777777" w:rsidR="00CD211E" w:rsidRDefault="00CD211E" w:rsidP="00CD211E">
      <w:pPr>
        <w:rPr>
          <w:rFonts w:ascii="Arial" w:hAnsi="Arial" w:cs="Arial"/>
          <w:sz w:val="28"/>
          <w:szCs w:val="28"/>
        </w:rPr>
      </w:pPr>
    </w:p>
    <w:p w14:paraId="70C823BF" w14:textId="71625A60" w:rsidR="00CA1A36" w:rsidRPr="00E56898" w:rsidRDefault="00CD211E">
      <w:pPr>
        <w:pStyle w:val="TOC1"/>
        <w:tabs>
          <w:tab w:val="left" w:pos="480"/>
          <w:tab w:val="right" w:pos="9010"/>
        </w:tabs>
        <w:rPr>
          <w:rFonts w:ascii="Arial" w:eastAsiaTheme="minorEastAsia" w:hAnsi="Arial" w:cs="Arial"/>
          <w:b w:val="0"/>
          <w:bCs w:val="0"/>
          <w:caps w:val="0"/>
          <w:noProof/>
        </w:rPr>
      </w:pPr>
      <w:r w:rsidRPr="00E56898">
        <w:rPr>
          <w:rFonts w:ascii="Arial" w:hAnsi="Arial" w:cs="Arial"/>
          <w:b w:val="0"/>
          <w:sz w:val="20"/>
          <w:szCs w:val="28"/>
        </w:rPr>
        <w:fldChar w:fldCharType="begin"/>
      </w:r>
      <w:r w:rsidRPr="00E56898">
        <w:rPr>
          <w:rFonts w:ascii="Arial" w:hAnsi="Arial" w:cs="Arial"/>
          <w:b w:val="0"/>
          <w:sz w:val="20"/>
          <w:szCs w:val="28"/>
        </w:rPr>
        <w:instrText xml:space="preserve"> TOC \o "1-3" \h \z \u </w:instrText>
      </w:r>
      <w:r w:rsidRPr="00E56898">
        <w:rPr>
          <w:rFonts w:ascii="Arial" w:hAnsi="Arial" w:cs="Arial"/>
          <w:b w:val="0"/>
          <w:sz w:val="20"/>
          <w:szCs w:val="28"/>
        </w:rPr>
        <w:fldChar w:fldCharType="separate"/>
      </w:r>
      <w:hyperlink w:anchor="_Toc535572131" w:history="1">
        <w:r w:rsidR="00CA1A36" w:rsidRPr="00E56898">
          <w:rPr>
            <w:rStyle w:val="Hyperlink"/>
            <w:rFonts w:ascii="Arial" w:hAnsi="Arial" w:cs="Arial"/>
            <w:noProof/>
          </w:rPr>
          <w:t>1</w:t>
        </w:r>
        <w:r w:rsidR="00CA1A36" w:rsidRPr="00E56898">
          <w:rPr>
            <w:rFonts w:ascii="Arial" w:eastAsiaTheme="minorEastAsia" w:hAnsi="Arial" w:cs="Arial"/>
            <w:b w:val="0"/>
            <w:bCs w:val="0"/>
            <w:caps w:val="0"/>
            <w:noProof/>
          </w:rPr>
          <w:tab/>
        </w:r>
        <w:r w:rsidR="00CA1A36" w:rsidRPr="00E56898">
          <w:rPr>
            <w:rStyle w:val="Hyperlink"/>
            <w:rFonts w:ascii="Arial" w:hAnsi="Arial" w:cs="Arial"/>
            <w:caps w:val="0"/>
            <w:noProof/>
          </w:rPr>
          <w:t>Introduction</w:t>
        </w:r>
        <w:r w:rsidR="00E56898">
          <w:rPr>
            <w:rFonts w:ascii="Arial" w:hAnsi="Arial" w:cs="Arial"/>
            <w:noProof/>
            <w:webHidden/>
          </w:rPr>
          <w:t xml:space="preserve">                                                                                              </w:t>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_Toc535572131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49103E89" w14:textId="18B8626C" w:rsidR="00CA1A36" w:rsidRPr="00E56898" w:rsidRDefault="00000000">
      <w:pPr>
        <w:pStyle w:val="TOC2"/>
        <w:rPr>
          <w:rFonts w:ascii="Arial" w:eastAsiaTheme="minorEastAsia" w:hAnsi="Arial" w:cs="Arial"/>
          <w:b w:val="0"/>
          <w:bCs w:val="0"/>
          <w:noProof/>
          <w:sz w:val="24"/>
          <w:szCs w:val="24"/>
        </w:rPr>
      </w:pPr>
      <w:hyperlink w:anchor="_Toc535572132" w:history="1">
        <w:r w:rsidR="00CA1A36" w:rsidRPr="00E56898">
          <w:rPr>
            <w:rStyle w:val="Hyperlink"/>
            <w:rFonts w:ascii="Arial" w:hAnsi="Arial" w:cs="Arial"/>
            <w:noProof/>
          </w:rPr>
          <w:t>1.1</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Policy statement</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_Toc535572132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0F3BFA32" w14:textId="24D04DB3" w:rsidR="00CA1A36" w:rsidRPr="00E56898" w:rsidRDefault="00000000">
      <w:pPr>
        <w:pStyle w:val="TOC2"/>
        <w:rPr>
          <w:rFonts w:ascii="Arial" w:eastAsiaTheme="minorEastAsia" w:hAnsi="Arial" w:cs="Arial"/>
          <w:b w:val="0"/>
          <w:bCs w:val="0"/>
          <w:noProof/>
          <w:sz w:val="24"/>
          <w:szCs w:val="24"/>
        </w:rPr>
      </w:pPr>
      <w:hyperlink w:anchor="_Toc535572133" w:history="1">
        <w:r w:rsidR="00CA1A36" w:rsidRPr="00E56898">
          <w:rPr>
            <w:rStyle w:val="Hyperlink"/>
            <w:rFonts w:ascii="Arial" w:hAnsi="Arial" w:cs="Arial"/>
            <w:noProof/>
          </w:rPr>
          <w:t>1.2</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Status</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_Toc535572133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0AF9FD46" w14:textId="1AC9572C" w:rsidR="00CA1A36" w:rsidRPr="00E56898" w:rsidRDefault="00000000">
      <w:pPr>
        <w:pStyle w:val="TOC2"/>
        <w:rPr>
          <w:rFonts w:ascii="Arial" w:eastAsiaTheme="minorEastAsia" w:hAnsi="Arial" w:cs="Arial"/>
          <w:b w:val="0"/>
          <w:bCs w:val="0"/>
          <w:noProof/>
          <w:sz w:val="24"/>
          <w:szCs w:val="24"/>
        </w:rPr>
      </w:pPr>
      <w:hyperlink w:anchor="_Toc535572134" w:history="1">
        <w:r w:rsidR="00CA1A36" w:rsidRPr="00E56898">
          <w:rPr>
            <w:rStyle w:val="Hyperlink"/>
            <w:rFonts w:ascii="Arial" w:hAnsi="Arial" w:cs="Arial"/>
            <w:noProof/>
          </w:rPr>
          <w:t>1.3</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Training and support</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_Toc535572134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3376273E" w14:textId="7C851194" w:rsidR="00CA1A36" w:rsidRPr="00E56898" w:rsidRDefault="00000000">
      <w:pPr>
        <w:pStyle w:val="TOC1"/>
        <w:tabs>
          <w:tab w:val="left" w:pos="480"/>
          <w:tab w:val="right" w:pos="9010"/>
        </w:tabs>
        <w:rPr>
          <w:rFonts w:ascii="Arial" w:eastAsiaTheme="minorEastAsia" w:hAnsi="Arial" w:cs="Arial"/>
          <w:b w:val="0"/>
          <w:bCs w:val="0"/>
          <w:caps w:val="0"/>
          <w:noProof/>
        </w:rPr>
      </w:pPr>
      <w:hyperlink w:anchor="_Toc535572135" w:history="1">
        <w:r w:rsidR="00CA1A36" w:rsidRPr="00E56898">
          <w:rPr>
            <w:rStyle w:val="Hyperlink"/>
            <w:rFonts w:ascii="Arial" w:hAnsi="Arial" w:cs="Arial"/>
            <w:noProof/>
          </w:rPr>
          <w:t>2</w:t>
        </w:r>
        <w:r w:rsidR="00CA1A36" w:rsidRPr="00E56898">
          <w:rPr>
            <w:rFonts w:ascii="Arial" w:eastAsiaTheme="minorEastAsia" w:hAnsi="Arial" w:cs="Arial"/>
            <w:b w:val="0"/>
            <w:bCs w:val="0"/>
            <w:caps w:val="0"/>
            <w:noProof/>
          </w:rPr>
          <w:tab/>
        </w:r>
        <w:r w:rsidR="00CA1A36" w:rsidRPr="00E56898">
          <w:rPr>
            <w:rStyle w:val="Hyperlink"/>
            <w:rFonts w:ascii="Arial" w:hAnsi="Arial" w:cs="Arial"/>
            <w:caps w:val="0"/>
            <w:noProof/>
          </w:rPr>
          <w:t>Scope</w:t>
        </w:r>
        <w:r w:rsidR="00E56898">
          <w:rPr>
            <w:rFonts w:ascii="Arial" w:hAnsi="Arial" w:cs="Arial"/>
            <w:noProof/>
            <w:webHidden/>
          </w:rPr>
          <w:t xml:space="preserve">                                                                                                        </w:t>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_Toc535572135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56CC53EF" w14:textId="00785852" w:rsidR="00CA1A36" w:rsidRPr="00E56898" w:rsidRDefault="00000000">
      <w:pPr>
        <w:pStyle w:val="TOC2"/>
        <w:rPr>
          <w:rFonts w:ascii="Arial" w:eastAsiaTheme="minorEastAsia" w:hAnsi="Arial" w:cs="Arial"/>
          <w:b w:val="0"/>
          <w:bCs w:val="0"/>
          <w:noProof/>
          <w:sz w:val="24"/>
          <w:szCs w:val="24"/>
        </w:rPr>
      </w:pPr>
      <w:hyperlink w:anchor="_Toc535572136" w:history="1">
        <w:r w:rsidR="00CA1A36" w:rsidRPr="00E56898">
          <w:rPr>
            <w:rStyle w:val="Hyperlink"/>
            <w:rFonts w:ascii="Arial" w:hAnsi="Arial" w:cs="Arial"/>
            <w:noProof/>
          </w:rPr>
          <w:t>2.1</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Who it applies to</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_Toc535572136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77BCCC91" w14:textId="773F881A" w:rsidR="00CA1A36" w:rsidRPr="00E56898" w:rsidRDefault="00000000">
      <w:pPr>
        <w:pStyle w:val="TOC2"/>
        <w:rPr>
          <w:rFonts w:ascii="Arial" w:eastAsiaTheme="minorEastAsia" w:hAnsi="Arial" w:cs="Arial"/>
          <w:b w:val="0"/>
          <w:bCs w:val="0"/>
          <w:noProof/>
          <w:sz w:val="24"/>
          <w:szCs w:val="24"/>
        </w:rPr>
      </w:pPr>
      <w:hyperlink w:anchor="_Toc535572137" w:history="1">
        <w:r w:rsidR="00CA1A36" w:rsidRPr="00E56898">
          <w:rPr>
            <w:rStyle w:val="Hyperlink"/>
            <w:rFonts w:ascii="Arial" w:hAnsi="Arial" w:cs="Arial"/>
            <w:noProof/>
          </w:rPr>
          <w:t>2.2</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Why and how it applies to them</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_Toc535572137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2</w:t>
        </w:r>
        <w:r w:rsidR="00CA1A36" w:rsidRPr="00E56898">
          <w:rPr>
            <w:rFonts w:ascii="Arial" w:hAnsi="Arial" w:cs="Arial"/>
            <w:noProof/>
            <w:webHidden/>
          </w:rPr>
          <w:fldChar w:fldCharType="end"/>
        </w:r>
      </w:hyperlink>
    </w:p>
    <w:p w14:paraId="2100C13A" w14:textId="248E4B5E" w:rsidR="00CA1A36" w:rsidRPr="00E56898" w:rsidRDefault="00000000">
      <w:pPr>
        <w:pStyle w:val="TOC1"/>
        <w:tabs>
          <w:tab w:val="left" w:pos="480"/>
          <w:tab w:val="right" w:pos="9010"/>
        </w:tabs>
        <w:rPr>
          <w:rFonts w:ascii="Arial" w:eastAsiaTheme="minorEastAsia" w:hAnsi="Arial" w:cs="Arial"/>
          <w:b w:val="0"/>
          <w:bCs w:val="0"/>
          <w:caps w:val="0"/>
          <w:noProof/>
        </w:rPr>
      </w:pPr>
      <w:hyperlink w:anchor="_Toc535572138" w:history="1">
        <w:r w:rsidR="00CA1A36" w:rsidRPr="00E56898">
          <w:rPr>
            <w:rStyle w:val="Hyperlink"/>
            <w:rFonts w:ascii="Arial" w:hAnsi="Arial" w:cs="Arial"/>
            <w:noProof/>
          </w:rPr>
          <w:t>3</w:t>
        </w:r>
        <w:r w:rsidR="00CA1A36" w:rsidRPr="00E56898">
          <w:rPr>
            <w:rFonts w:ascii="Arial" w:eastAsiaTheme="minorEastAsia" w:hAnsi="Arial" w:cs="Arial"/>
            <w:b w:val="0"/>
            <w:bCs w:val="0"/>
            <w:caps w:val="0"/>
            <w:noProof/>
          </w:rPr>
          <w:tab/>
        </w:r>
        <w:r w:rsidR="00CA1A36" w:rsidRPr="00E56898">
          <w:rPr>
            <w:rStyle w:val="Hyperlink"/>
            <w:rFonts w:ascii="Arial" w:hAnsi="Arial" w:cs="Arial"/>
            <w:caps w:val="0"/>
            <w:noProof/>
          </w:rPr>
          <w:t>Policy</w:t>
        </w:r>
        <w:r w:rsidR="00E56898">
          <w:rPr>
            <w:rFonts w:ascii="Arial" w:hAnsi="Arial" w:cs="Arial"/>
            <w:noProof/>
            <w:webHidden/>
          </w:rPr>
          <w:t xml:space="preserve">                                                                                                         </w:t>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_Toc535572138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3</w:t>
        </w:r>
        <w:r w:rsidR="00CA1A36" w:rsidRPr="00E56898">
          <w:rPr>
            <w:rFonts w:ascii="Arial" w:hAnsi="Arial" w:cs="Arial"/>
            <w:noProof/>
            <w:webHidden/>
          </w:rPr>
          <w:fldChar w:fldCharType="end"/>
        </w:r>
      </w:hyperlink>
    </w:p>
    <w:p w14:paraId="35018CF0" w14:textId="053E91DD" w:rsidR="00CA1A36" w:rsidRPr="00E56898" w:rsidRDefault="00000000">
      <w:pPr>
        <w:pStyle w:val="TOC2"/>
        <w:rPr>
          <w:rFonts w:ascii="Arial" w:eastAsiaTheme="minorEastAsia" w:hAnsi="Arial" w:cs="Arial"/>
          <w:b w:val="0"/>
          <w:bCs w:val="0"/>
          <w:noProof/>
          <w:sz w:val="24"/>
          <w:szCs w:val="24"/>
        </w:rPr>
      </w:pPr>
      <w:hyperlink w:anchor="_Toc535572139" w:history="1">
        <w:r w:rsidR="00CA1A36" w:rsidRPr="00E56898">
          <w:rPr>
            <w:rStyle w:val="Hyperlink"/>
            <w:rFonts w:ascii="Arial" w:hAnsi="Arial" w:cs="Arial"/>
            <w:noProof/>
          </w:rPr>
          <w:t>3.1</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Process overview</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_Toc535572139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3</w:t>
        </w:r>
        <w:r w:rsidR="00CA1A36" w:rsidRPr="00E56898">
          <w:rPr>
            <w:rFonts w:ascii="Arial" w:hAnsi="Arial" w:cs="Arial"/>
            <w:noProof/>
            <w:webHidden/>
          </w:rPr>
          <w:fldChar w:fldCharType="end"/>
        </w:r>
      </w:hyperlink>
    </w:p>
    <w:p w14:paraId="178895E0" w14:textId="7303006E" w:rsidR="00CA1A36" w:rsidRPr="00E56898" w:rsidRDefault="00000000">
      <w:pPr>
        <w:pStyle w:val="TOC2"/>
        <w:rPr>
          <w:rFonts w:ascii="Arial" w:eastAsiaTheme="minorEastAsia" w:hAnsi="Arial" w:cs="Arial"/>
          <w:b w:val="0"/>
          <w:bCs w:val="0"/>
          <w:noProof/>
          <w:sz w:val="24"/>
          <w:szCs w:val="24"/>
        </w:rPr>
      </w:pPr>
      <w:hyperlink w:anchor="_Toc535572140" w:history="1">
        <w:r w:rsidR="00CA1A36" w:rsidRPr="00E56898">
          <w:rPr>
            <w:rStyle w:val="Hyperlink"/>
            <w:rFonts w:ascii="Arial" w:hAnsi="Arial" w:cs="Arial"/>
            <w:noProof/>
          </w:rPr>
          <w:t>3.2</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Benefits of GP2GP</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_Toc535572140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3</w:t>
        </w:r>
        <w:r w:rsidR="00CA1A36" w:rsidRPr="00E56898">
          <w:rPr>
            <w:rFonts w:ascii="Arial" w:hAnsi="Arial" w:cs="Arial"/>
            <w:noProof/>
            <w:webHidden/>
          </w:rPr>
          <w:fldChar w:fldCharType="end"/>
        </w:r>
      </w:hyperlink>
    </w:p>
    <w:p w14:paraId="6DEA7F2D" w14:textId="49C4BB9A" w:rsidR="00CA1A36" w:rsidRPr="00E56898" w:rsidRDefault="00000000">
      <w:pPr>
        <w:pStyle w:val="TOC2"/>
        <w:rPr>
          <w:rFonts w:ascii="Arial" w:eastAsiaTheme="minorEastAsia" w:hAnsi="Arial" w:cs="Arial"/>
          <w:b w:val="0"/>
          <w:bCs w:val="0"/>
          <w:noProof/>
          <w:sz w:val="24"/>
          <w:szCs w:val="24"/>
        </w:rPr>
      </w:pPr>
      <w:hyperlink w:anchor="_Toc535572141" w:history="1">
        <w:r w:rsidR="00CA1A36" w:rsidRPr="00E56898">
          <w:rPr>
            <w:rStyle w:val="Hyperlink"/>
            <w:rFonts w:ascii="Arial" w:hAnsi="Arial" w:cs="Arial"/>
            <w:noProof/>
          </w:rPr>
          <w:t>3.3</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Reports and tools</w:t>
        </w:r>
        <w:r w:rsidR="00CA1A36" w:rsidRPr="00E56898">
          <w:rPr>
            <w:rFonts w:ascii="Arial" w:hAnsi="Arial" w:cs="Arial"/>
            <w:noProof/>
            <w:webHidden/>
          </w:rPr>
          <w:tab/>
        </w:r>
      </w:hyperlink>
      <w:r w:rsidR="00050859">
        <w:rPr>
          <w:rFonts w:ascii="Arial" w:hAnsi="Arial" w:cs="Arial"/>
          <w:noProof/>
        </w:rPr>
        <w:t>4</w:t>
      </w:r>
    </w:p>
    <w:p w14:paraId="581DC227" w14:textId="1E2FC6E2" w:rsidR="00CA1A36" w:rsidRPr="00E56898" w:rsidRDefault="00000000">
      <w:pPr>
        <w:pStyle w:val="TOC2"/>
        <w:rPr>
          <w:rFonts w:ascii="Arial" w:eastAsiaTheme="minorEastAsia" w:hAnsi="Arial" w:cs="Arial"/>
          <w:b w:val="0"/>
          <w:bCs w:val="0"/>
          <w:noProof/>
          <w:sz w:val="24"/>
          <w:szCs w:val="24"/>
        </w:rPr>
      </w:pPr>
      <w:hyperlink w:anchor="_Toc535572142" w:history="1">
        <w:r w:rsidR="00CA1A36" w:rsidRPr="00E56898">
          <w:rPr>
            <w:rStyle w:val="Hyperlink"/>
            <w:rFonts w:ascii="Arial" w:hAnsi="Arial" w:cs="Arial"/>
            <w:noProof/>
          </w:rPr>
          <w:t>3.4</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 xml:space="preserve">Roles and responsibilities </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_Toc535572142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4</w:t>
        </w:r>
        <w:r w:rsidR="00CA1A36" w:rsidRPr="00E56898">
          <w:rPr>
            <w:rFonts w:ascii="Arial" w:hAnsi="Arial" w:cs="Arial"/>
            <w:noProof/>
            <w:webHidden/>
          </w:rPr>
          <w:fldChar w:fldCharType="end"/>
        </w:r>
      </w:hyperlink>
    </w:p>
    <w:p w14:paraId="08AE4616" w14:textId="3BD1907A" w:rsidR="00CA1A36" w:rsidRPr="00E56898" w:rsidRDefault="00000000">
      <w:pPr>
        <w:pStyle w:val="TOC2"/>
        <w:rPr>
          <w:rFonts w:ascii="Arial" w:eastAsiaTheme="minorEastAsia" w:hAnsi="Arial" w:cs="Arial"/>
          <w:b w:val="0"/>
          <w:bCs w:val="0"/>
          <w:noProof/>
          <w:sz w:val="24"/>
          <w:szCs w:val="24"/>
        </w:rPr>
      </w:pPr>
      <w:hyperlink w:anchor="_Toc535572143" w:history="1">
        <w:r w:rsidR="00CA1A36" w:rsidRPr="00E56898">
          <w:rPr>
            <w:rStyle w:val="Hyperlink"/>
            <w:rFonts w:ascii="Arial" w:hAnsi="Arial" w:cs="Arial"/>
            <w:noProof/>
          </w:rPr>
          <w:t>3.5</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Printing</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_Toc535572143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4</w:t>
        </w:r>
        <w:r w:rsidR="00CA1A36" w:rsidRPr="00E56898">
          <w:rPr>
            <w:rFonts w:ascii="Arial" w:hAnsi="Arial" w:cs="Arial"/>
            <w:noProof/>
            <w:webHidden/>
          </w:rPr>
          <w:fldChar w:fldCharType="end"/>
        </w:r>
      </w:hyperlink>
    </w:p>
    <w:p w14:paraId="20C36D65" w14:textId="2427426C" w:rsidR="00CA1A36" w:rsidRPr="00E56898" w:rsidRDefault="00000000">
      <w:pPr>
        <w:pStyle w:val="TOC2"/>
        <w:rPr>
          <w:rFonts w:ascii="Arial" w:eastAsiaTheme="minorEastAsia" w:hAnsi="Arial" w:cs="Arial"/>
          <w:b w:val="0"/>
          <w:bCs w:val="0"/>
          <w:noProof/>
          <w:sz w:val="24"/>
          <w:szCs w:val="24"/>
        </w:rPr>
      </w:pPr>
      <w:hyperlink w:anchor="_Toc535572144" w:history="1">
        <w:r w:rsidR="00CA1A36" w:rsidRPr="00E56898">
          <w:rPr>
            <w:rStyle w:val="Hyperlink"/>
            <w:rFonts w:ascii="Arial" w:hAnsi="Arial" w:cs="Arial"/>
            <w:noProof/>
          </w:rPr>
          <w:t>3.6</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Data transfer</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_Toc535572144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5</w:t>
        </w:r>
        <w:r w:rsidR="00CA1A36" w:rsidRPr="00E56898">
          <w:rPr>
            <w:rFonts w:ascii="Arial" w:hAnsi="Arial" w:cs="Arial"/>
            <w:noProof/>
            <w:webHidden/>
          </w:rPr>
          <w:fldChar w:fldCharType="end"/>
        </w:r>
      </w:hyperlink>
    </w:p>
    <w:p w14:paraId="6D58AE33" w14:textId="7413787E" w:rsidR="00CA1A36" w:rsidRPr="00E56898" w:rsidRDefault="00000000">
      <w:pPr>
        <w:pStyle w:val="TOC2"/>
        <w:rPr>
          <w:rFonts w:ascii="Arial" w:eastAsiaTheme="minorEastAsia" w:hAnsi="Arial" w:cs="Arial"/>
          <w:b w:val="0"/>
          <w:bCs w:val="0"/>
          <w:noProof/>
          <w:sz w:val="24"/>
          <w:szCs w:val="24"/>
        </w:rPr>
      </w:pPr>
      <w:hyperlink w:anchor="_Toc535572146" w:history="1">
        <w:r w:rsidR="00CA1A36" w:rsidRPr="00E56898">
          <w:rPr>
            <w:rStyle w:val="Hyperlink"/>
            <w:rFonts w:ascii="Arial" w:hAnsi="Arial" w:cs="Arial"/>
            <w:noProof/>
          </w:rPr>
          <w:t>3.8</w:t>
        </w:r>
        <w:r w:rsidR="00CA1A36" w:rsidRPr="00E56898">
          <w:rPr>
            <w:rFonts w:ascii="Arial" w:eastAsiaTheme="minorEastAsia" w:hAnsi="Arial" w:cs="Arial"/>
            <w:b w:val="0"/>
            <w:bCs w:val="0"/>
            <w:noProof/>
            <w:sz w:val="24"/>
            <w:szCs w:val="24"/>
          </w:rPr>
          <w:tab/>
        </w:r>
        <w:r w:rsidR="00CA1A36" w:rsidRPr="00E56898">
          <w:rPr>
            <w:rStyle w:val="Hyperlink"/>
            <w:rFonts w:ascii="Arial" w:hAnsi="Arial" w:cs="Arial"/>
            <w:noProof/>
          </w:rPr>
          <w:t>User guides</w:t>
        </w:r>
        <w:r w:rsidR="00CA1A36" w:rsidRPr="00E56898">
          <w:rPr>
            <w:rFonts w:ascii="Arial" w:hAnsi="Arial" w:cs="Arial"/>
            <w:noProof/>
            <w:webHidden/>
          </w:rPr>
          <w:tab/>
        </w:r>
        <w:r w:rsidR="00CA1A36" w:rsidRPr="00E56898">
          <w:rPr>
            <w:rFonts w:ascii="Arial" w:hAnsi="Arial" w:cs="Arial"/>
            <w:noProof/>
            <w:webHidden/>
          </w:rPr>
          <w:fldChar w:fldCharType="begin"/>
        </w:r>
        <w:r w:rsidR="00CA1A36" w:rsidRPr="00E56898">
          <w:rPr>
            <w:rFonts w:ascii="Arial" w:hAnsi="Arial" w:cs="Arial"/>
            <w:noProof/>
            <w:webHidden/>
          </w:rPr>
          <w:instrText xml:space="preserve"> PAGEREF _Toc535572146 \h </w:instrText>
        </w:r>
        <w:r w:rsidR="00CA1A36" w:rsidRPr="00E56898">
          <w:rPr>
            <w:rFonts w:ascii="Arial" w:hAnsi="Arial" w:cs="Arial"/>
            <w:noProof/>
            <w:webHidden/>
          </w:rPr>
        </w:r>
        <w:r w:rsidR="00CA1A36" w:rsidRPr="00E56898">
          <w:rPr>
            <w:rFonts w:ascii="Arial" w:hAnsi="Arial" w:cs="Arial"/>
            <w:noProof/>
            <w:webHidden/>
          </w:rPr>
          <w:fldChar w:fldCharType="separate"/>
        </w:r>
        <w:r w:rsidR="00CA1A36" w:rsidRPr="00E56898">
          <w:rPr>
            <w:rFonts w:ascii="Arial" w:hAnsi="Arial" w:cs="Arial"/>
            <w:noProof/>
            <w:webHidden/>
          </w:rPr>
          <w:t>5</w:t>
        </w:r>
        <w:r w:rsidR="00CA1A36" w:rsidRPr="00E56898">
          <w:rPr>
            <w:rFonts w:ascii="Arial" w:hAnsi="Arial" w:cs="Arial"/>
            <w:noProof/>
            <w:webHidden/>
          </w:rPr>
          <w:fldChar w:fldCharType="end"/>
        </w:r>
      </w:hyperlink>
    </w:p>
    <w:p w14:paraId="54148542" w14:textId="1D195B16" w:rsidR="00CD211E" w:rsidRPr="00E56898" w:rsidRDefault="00CD211E" w:rsidP="00CD211E">
      <w:pPr>
        <w:rPr>
          <w:rFonts w:ascii="Arial" w:hAnsi="Arial" w:cs="Arial"/>
          <w:sz w:val="20"/>
          <w:szCs w:val="28"/>
        </w:rPr>
      </w:pPr>
      <w:r w:rsidRPr="00E56898">
        <w:rPr>
          <w:rFonts w:ascii="Arial" w:hAnsi="Arial" w:cs="Arial"/>
          <w:sz w:val="20"/>
          <w:szCs w:val="28"/>
        </w:rPr>
        <w:fldChar w:fldCharType="end"/>
      </w:r>
    </w:p>
    <w:p w14:paraId="324919C2" w14:textId="77777777" w:rsidR="00CD211E" w:rsidRPr="00E56898" w:rsidRDefault="00CD211E" w:rsidP="00CD211E">
      <w:pPr>
        <w:rPr>
          <w:rFonts w:ascii="Arial" w:hAnsi="Arial" w:cs="Arial"/>
          <w:sz w:val="28"/>
          <w:szCs w:val="28"/>
        </w:rPr>
      </w:pPr>
      <w:r w:rsidRPr="00E56898">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535572131"/>
      <w:r>
        <w:rPr>
          <w:sz w:val="28"/>
          <w:szCs w:val="28"/>
        </w:rPr>
        <w:lastRenderedPageBreak/>
        <w:t>Introduction</w:t>
      </w:r>
      <w:bookmarkEnd w:id="0"/>
    </w:p>
    <w:p w14:paraId="4838E002" w14:textId="3FC44C2F" w:rsidR="00CD211E" w:rsidRPr="00DA3933" w:rsidRDefault="00DA3933" w:rsidP="00CD211E">
      <w:pPr>
        <w:pStyle w:val="Heading2"/>
        <w:rPr>
          <w:rFonts w:ascii="Arial" w:hAnsi="Arial" w:cs="Arial"/>
          <w:smallCaps w:val="0"/>
          <w:sz w:val="24"/>
          <w:szCs w:val="24"/>
        </w:rPr>
      </w:pPr>
      <w:bookmarkStart w:id="1" w:name="_Toc535572132"/>
      <w:r w:rsidRPr="00DA3933">
        <w:rPr>
          <w:rFonts w:ascii="Arial" w:hAnsi="Arial" w:cs="Arial"/>
          <w:smallCaps w:val="0"/>
          <w:sz w:val="24"/>
          <w:szCs w:val="24"/>
        </w:rPr>
        <w:t>P</w:t>
      </w:r>
      <w:r w:rsidR="00CD211E" w:rsidRPr="00DA3933">
        <w:rPr>
          <w:rFonts w:ascii="Arial" w:hAnsi="Arial" w:cs="Arial"/>
          <w:smallCaps w:val="0"/>
          <w:sz w:val="24"/>
          <w:szCs w:val="24"/>
        </w:rPr>
        <w:t>olicy statement</w:t>
      </w:r>
      <w:bookmarkEnd w:id="1"/>
    </w:p>
    <w:p w14:paraId="48F68B49" w14:textId="71661586" w:rsidR="00CD211E" w:rsidRDefault="00CD211E" w:rsidP="00CD211E">
      <w:pPr>
        <w:rPr>
          <w:lang w:val="en-US"/>
        </w:rPr>
      </w:pPr>
    </w:p>
    <w:p w14:paraId="7454B1E8" w14:textId="62DF0B20" w:rsidR="00CA1A36" w:rsidRPr="001A01D7" w:rsidRDefault="00CA1A36" w:rsidP="00CD211E">
      <w:pPr>
        <w:rPr>
          <w:lang w:val="en-US"/>
        </w:rPr>
      </w:pPr>
      <w:r>
        <w:rPr>
          <w:rFonts w:ascii="Arial" w:hAnsi="Arial" w:cs="Arial"/>
          <w:lang w:val="en-US"/>
        </w:rPr>
        <w:t xml:space="preserve">The purpose of this document is to explain the process used when transferring patients’ electronic healthcare records between two practices using GP2GP, </w:t>
      </w:r>
      <w:r w:rsidRPr="00A42E8E">
        <w:rPr>
          <w:rFonts w:ascii="Arial" w:hAnsi="Arial" w:cs="Arial"/>
          <w:color w:val="000000" w:themeColor="text1"/>
        </w:rPr>
        <w:t>thus</w:t>
      </w:r>
      <w:r>
        <w:rPr>
          <w:color w:val="000000" w:themeColor="text1"/>
        </w:rPr>
        <w:t xml:space="preserve"> </w:t>
      </w:r>
      <w:r w:rsidRPr="007C57C8">
        <w:rPr>
          <w:rFonts w:ascii="Arial" w:hAnsi="Arial" w:cs="Arial"/>
          <w:color w:val="000000" w:themeColor="text1"/>
        </w:rPr>
        <w:t>improving patient care by ensuring the patient</w:t>
      </w:r>
      <w:r>
        <w:rPr>
          <w:rFonts w:ascii="Arial" w:hAnsi="Arial" w:cs="Arial"/>
          <w:color w:val="000000" w:themeColor="text1"/>
        </w:rPr>
        <w:t>s’</w:t>
      </w:r>
      <w:r w:rsidRPr="007C57C8">
        <w:rPr>
          <w:rFonts w:ascii="Arial" w:hAnsi="Arial" w:cs="Arial"/>
          <w:color w:val="000000" w:themeColor="text1"/>
        </w:rPr>
        <w:t xml:space="preserve"> records are available for their first </w:t>
      </w:r>
      <w:r>
        <w:rPr>
          <w:rFonts w:ascii="Arial" w:hAnsi="Arial" w:cs="Arial"/>
          <w:color w:val="000000" w:themeColor="text1"/>
        </w:rPr>
        <w:t>and later consul</w:t>
      </w:r>
      <w:r w:rsidRPr="007C57C8">
        <w:rPr>
          <w:rFonts w:ascii="Arial" w:hAnsi="Arial" w:cs="Arial"/>
          <w:color w:val="000000" w:themeColor="text1"/>
        </w:rPr>
        <w:t>t</w:t>
      </w:r>
      <w:r>
        <w:rPr>
          <w:rFonts w:ascii="Arial" w:hAnsi="Arial" w:cs="Arial"/>
          <w:color w:val="000000" w:themeColor="text1"/>
        </w:rPr>
        <w:t>ations</w:t>
      </w:r>
      <w:r w:rsidRPr="007C57C8">
        <w:rPr>
          <w:rFonts w:ascii="Arial" w:hAnsi="Arial" w:cs="Arial"/>
          <w:color w:val="000000" w:themeColor="text1"/>
        </w:rPr>
        <w:t xml:space="preserve"> at their new practice.</w:t>
      </w:r>
      <w:r w:rsidRPr="001E26E9">
        <w:t xml:space="preserve"> </w:t>
      </w:r>
    </w:p>
    <w:p w14:paraId="7F4050D4" w14:textId="3E0F1AB2" w:rsidR="00CD211E" w:rsidRPr="00DA3933" w:rsidRDefault="00DA3933" w:rsidP="00CD211E">
      <w:pPr>
        <w:pStyle w:val="Heading2"/>
        <w:rPr>
          <w:rFonts w:ascii="Arial" w:hAnsi="Arial" w:cs="Arial"/>
          <w:smallCaps w:val="0"/>
          <w:sz w:val="24"/>
          <w:szCs w:val="24"/>
        </w:rPr>
      </w:pPr>
      <w:bookmarkStart w:id="2" w:name="_Toc535572133"/>
      <w:r w:rsidRPr="00DA3933">
        <w:rPr>
          <w:rFonts w:ascii="Arial" w:hAnsi="Arial" w:cs="Arial"/>
          <w:smallCaps w:val="0"/>
          <w:sz w:val="24"/>
          <w:szCs w:val="24"/>
        </w:rPr>
        <w:t>S</w:t>
      </w:r>
      <w:r w:rsidR="00CD211E" w:rsidRPr="00DA3933">
        <w:rPr>
          <w:rFonts w:ascii="Arial" w:hAnsi="Arial" w:cs="Arial"/>
          <w:smallCaps w:val="0"/>
          <w:sz w:val="24"/>
          <w:szCs w:val="24"/>
        </w:rPr>
        <w:t>tatus</w:t>
      </w:r>
      <w:bookmarkEnd w:id="2"/>
    </w:p>
    <w:p w14:paraId="6757D4A8" w14:textId="77777777" w:rsidR="00CD211E" w:rsidRDefault="00CD211E" w:rsidP="00CD211E">
      <w:pPr>
        <w:rPr>
          <w:rFonts w:ascii="Arial" w:hAnsi="Arial" w:cs="Arial"/>
          <w:lang w:val="en-US"/>
        </w:rPr>
      </w:pPr>
    </w:p>
    <w:p w14:paraId="47DCB655" w14:textId="6B0E9AFC" w:rsidR="00CD211E" w:rsidRDefault="00CD211E" w:rsidP="00CD211E">
      <w:pPr>
        <w:rPr>
          <w:rFonts w:ascii="Arial" w:hAnsi="Arial" w:cs="Arial"/>
          <w:lang w:val="en-US"/>
        </w:rPr>
      </w:pPr>
      <w:r>
        <w:rPr>
          <w:rFonts w:ascii="Arial" w:hAnsi="Arial" w:cs="Arial"/>
          <w:lang w:val="en-US"/>
        </w:rPr>
        <w:t>This document and any procedures containe</w:t>
      </w:r>
      <w:r w:rsidR="00B94671">
        <w:rPr>
          <w:rFonts w:ascii="Arial" w:hAnsi="Arial" w:cs="Arial"/>
          <w:lang w:val="en-US"/>
        </w:rPr>
        <w:t>d within it are contractual and</w:t>
      </w:r>
      <w:r>
        <w:rPr>
          <w:rFonts w:ascii="Arial" w:hAnsi="Arial" w:cs="Arial"/>
          <w:lang w:val="en-US"/>
        </w:rPr>
        <w:t xml:space="preserve"> therefore form part of your contract of </w:t>
      </w:r>
      <w:r w:rsidR="00B94671">
        <w:rPr>
          <w:rFonts w:ascii="Arial" w:hAnsi="Arial" w:cs="Arial"/>
          <w:lang w:val="en-US"/>
        </w:rPr>
        <w:t xml:space="preserve">employment. </w:t>
      </w:r>
      <w:r>
        <w:rPr>
          <w:rFonts w:ascii="Arial" w:hAnsi="Arial" w:cs="Arial"/>
          <w:lang w:val="en-US"/>
        </w:rPr>
        <w:t>Employees will be consulted on any modifications or change to the document’s status.</w:t>
      </w:r>
    </w:p>
    <w:p w14:paraId="794BC6D9" w14:textId="29C6A619" w:rsidR="00CD211E" w:rsidRPr="00DA3933" w:rsidRDefault="00DA3933" w:rsidP="00CD211E">
      <w:pPr>
        <w:pStyle w:val="Heading2"/>
        <w:rPr>
          <w:rFonts w:ascii="Arial" w:hAnsi="Arial" w:cs="Arial"/>
          <w:smallCaps w:val="0"/>
          <w:sz w:val="24"/>
          <w:szCs w:val="24"/>
        </w:rPr>
      </w:pPr>
      <w:bookmarkStart w:id="3" w:name="_Toc535572134"/>
      <w:r>
        <w:rPr>
          <w:rFonts w:ascii="Arial" w:hAnsi="Arial" w:cs="Arial"/>
          <w:smallCaps w:val="0"/>
          <w:sz w:val="24"/>
          <w:szCs w:val="24"/>
        </w:rPr>
        <w:t>T</w:t>
      </w:r>
      <w:r w:rsidR="00CD211E" w:rsidRPr="00DA3933">
        <w:rPr>
          <w:rFonts w:ascii="Arial" w:hAnsi="Arial" w:cs="Arial"/>
          <w:smallCaps w:val="0"/>
          <w:sz w:val="24"/>
          <w:szCs w:val="24"/>
        </w:rPr>
        <w:t>raining and support</w:t>
      </w:r>
      <w:bookmarkEnd w:id="3"/>
    </w:p>
    <w:p w14:paraId="6B186937" w14:textId="77777777" w:rsidR="00CD211E" w:rsidRDefault="00CD211E" w:rsidP="00CD211E">
      <w:pPr>
        <w:rPr>
          <w:lang w:val="en-US"/>
        </w:rPr>
      </w:pPr>
    </w:p>
    <w:p w14:paraId="228962E3" w14:textId="297EF662" w:rsidR="00CD211E" w:rsidRPr="00E5412E" w:rsidRDefault="00B94671" w:rsidP="00CD211E">
      <w:pPr>
        <w:rPr>
          <w:rFonts w:ascii="Arial" w:hAnsi="Arial" w:cs="Arial"/>
          <w:lang w:val="en-US"/>
        </w:rPr>
      </w:pPr>
      <w:r>
        <w:rPr>
          <w:rFonts w:ascii="Arial" w:hAnsi="Arial" w:cs="Arial"/>
          <w:lang w:val="en-US"/>
        </w:rPr>
        <w:t>The p</w:t>
      </w:r>
      <w:r w:rsidR="00CD211E" w:rsidRPr="00E5412E">
        <w:rPr>
          <w:rFonts w:ascii="Arial" w:hAnsi="Arial" w:cs="Arial"/>
          <w:lang w:val="en-US"/>
        </w:rPr>
        <w:t xml:space="preserve">ractice will provide guidance and support to help those to whom it applies understand their rights and responsibilities under this </w:t>
      </w:r>
      <w:r>
        <w:rPr>
          <w:rFonts w:ascii="Arial" w:hAnsi="Arial" w:cs="Arial"/>
          <w:lang w:val="en-US"/>
        </w:rPr>
        <w:t xml:space="preserve">policy. </w:t>
      </w:r>
      <w:r w:rsidR="00CD211E" w:rsidRPr="00E5412E">
        <w:rPr>
          <w:rFonts w:ascii="Arial" w:hAnsi="Arial" w:cs="Arial"/>
          <w:lang w:val="en-US"/>
        </w:rPr>
        <w:t>Additional support will be provided to managers and supervisors to enable them to deal more effectively with matters arising from this policy.</w:t>
      </w:r>
    </w:p>
    <w:p w14:paraId="0BA35458" w14:textId="77777777" w:rsidR="00CD211E" w:rsidRDefault="00CD211E" w:rsidP="00CD211E">
      <w:pPr>
        <w:rPr>
          <w:lang w:val="en-US"/>
        </w:rPr>
      </w:pP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535572135"/>
      <w:r>
        <w:rPr>
          <w:sz w:val="28"/>
          <w:szCs w:val="28"/>
        </w:rPr>
        <w:t>Scope</w:t>
      </w:r>
      <w:bookmarkEnd w:id="4"/>
    </w:p>
    <w:p w14:paraId="2D2B0C99" w14:textId="361CDF9B" w:rsidR="00CD211E" w:rsidRPr="00DA3933" w:rsidRDefault="00DA3933" w:rsidP="00CD211E">
      <w:pPr>
        <w:pStyle w:val="Heading2"/>
        <w:rPr>
          <w:rFonts w:ascii="Arial" w:hAnsi="Arial" w:cs="Arial"/>
          <w:smallCaps w:val="0"/>
          <w:sz w:val="24"/>
          <w:szCs w:val="24"/>
        </w:rPr>
      </w:pPr>
      <w:bookmarkStart w:id="5" w:name="_Toc535572136"/>
      <w:r w:rsidRPr="00DA3933">
        <w:rPr>
          <w:rFonts w:ascii="Arial" w:hAnsi="Arial" w:cs="Arial"/>
          <w:smallCaps w:val="0"/>
          <w:sz w:val="24"/>
          <w:szCs w:val="24"/>
        </w:rPr>
        <w:t>W</w:t>
      </w:r>
      <w:r w:rsidR="00CD211E" w:rsidRPr="00DA3933">
        <w:rPr>
          <w:rFonts w:ascii="Arial" w:hAnsi="Arial" w:cs="Arial"/>
          <w:smallCaps w:val="0"/>
          <w:sz w:val="24"/>
          <w:szCs w:val="24"/>
        </w:rPr>
        <w:t>ho it applies to</w:t>
      </w:r>
      <w:bookmarkEnd w:id="5"/>
    </w:p>
    <w:p w14:paraId="678F23CB" w14:textId="77777777" w:rsidR="00CD211E" w:rsidRDefault="00CD211E" w:rsidP="00CD211E">
      <w:pPr>
        <w:rPr>
          <w:lang w:val="en-US"/>
        </w:rPr>
      </w:pPr>
    </w:p>
    <w:p w14:paraId="795D1742" w14:textId="7BB4ECAE" w:rsidR="00CD211E" w:rsidRPr="00E53611" w:rsidRDefault="00CD211E" w:rsidP="00CD211E">
      <w:pPr>
        <w:rPr>
          <w:rFonts w:ascii="Arial" w:hAnsi="Arial" w:cs="Arial"/>
          <w:lang w:val="en-US"/>
        </w:rPr>
      </w:pPr>
      <w:r>
        <w:rPr>
          <w:rFonts w:ascii="Arial" w:hAnsi="Arial" w:cs="Arial"/>
          <w:lang w:val="en-US"/>
        </w:rPr>
        <w:t>This document a</w:t>
      </w:r>
      <w:r w:rsidR="00B94671">
        <w:rPr>
          <w:rFonts w:ascii="Arial" w:hAnsi="Arial" w:cs="Arial"/>
          <w:lang w:val="en-US"/>
        </w:rPr>
        <w:t xml:space="preserve">pplies to all employees of the practice and </w:t>
      </w:r>
      <w:r>
        <w:rPr>
          <w:rFonts w:ascii="Arial" w:hAnsi="Arial" w:cs="Arial"/>
          <w:lang w:val="en-US"/>
        </w:rPr>
        <w:t>other individuals performin</w:t>
      </w:r>
      <w:r w:rsidR="00B94671">
        <w:rPr>
          <w:rFonts w:ascii="Arial" w:hAnsi="Arial" w:cs="Arial"/>
          <w:lang w:val="en-US"/>
        </w:rPr>
        <w:t>g functions in relation to the p</w:t>
      </w:r>
      <w:r>
        <w:rPr>
          <w:rFonts w:ascii="Arial" w:hAnsi="Arial" w:cs="Arial"/>
          <w:lang w:val="en-US"/>
        </w:rPr>
        <w:t xml:space="preserve">ractice, such as agency workers, locums and contractors. </w:t>
      </w:r>
    </w:p>
    <w:p w14:paraId="03522A21" w14:textId="5B473006" w:rsidR="00CD211E" w:rsidRPr="00DA3933" w:rsidRDefault="00DA3933" w:rsidP="00CD211E">
      <w:pPr>
        <w:pStyle w:val="Heading2"/>
        <w:rPr>
          <w:rFonts w:ascii="Arial" w:hAnsi="Arial" w:cs="Arial"/>
          <w:smallCaps w:val="0"/>
          <w:sz w:val="24"/>
          <w:szCs w:val="24"/>
        </w:rPr>
      </w:pPr>
      <w:bookmarkStart w:id="6" w:name="_Toc535572137"/>
      <w:r>
        <w:rPr>
          <w:rFonts w:ascii="Arial" w:hAnsi="Arial" w:cs="Arial"/>
          <w:smallCaps w:val="0"/>
          <w:sz w:val="24"/>
          <w:szCs w:val="24"/>
        </w:rPr>
        <w:t>W</w:t>
      </w:r>
      <w:r w:rsidR="00CD211E" w:rsidRPr="00DA3933">
        <w:rPr>
          <w:rFonts w:ascii="Arial" w:hAnsi="Arial" w:cs="Arial"/>
          <w:smallCaps w:val="0"/>
          <w:sz w:val="24"/>
          <w:szCs w:val="24"/>
        </w:rPr>
        <w:t>hy and how it applies to them</w:t>
      </w:r>
      <w:bookmarkEnd w:id="6"/>
    </w:p>
    <w:p w14:paraId="0226DDE1" w14:textId="77777777" w:rsidR="00CD211E" w:rsidRPr="00E53611" w:rsidRDefault="00CD211E" w:rsidP="00CD211E">
      <w:pPr>
        <w:rPr>
          <w:rFonts w:cstheme="minorHAnsi"/>
          <w:lang w:val="en-US"/>
        </w:rPr>
      </w:pPr>
    </w:p>
    <w:p w14:paraId="20D7494E" w14:textId="6A97BCC5" w:rsidR="00CD211E" w:rsidRPr="007C57C8" w:rsidRDefault="007C57C8" w:rsidP="007C57C8">
      <w:pPr>
        <w:spacing w:after="216"/>
        <w:rPr>
          <w:rFonts w:ascii="Arial" w:hAnsi="Arial" w:cs="Arial"/>
          <w:color w:val="000000" w:themeColor="text1"/>
        </w:rPr>
      </w:pPr>
      <w:r w:rsidRPr="007C57C8">
        <w:rPr>
          <w:rFonts w:ascii="Arial" w:hAnsi="Arial" w:cs="Arial"/>
          <w:color w:val="000000" w:themeColor="text1"/>
        </w:rPr>
        <w:t>As part of the General Medical Services Contract</w:t>
      </w:r>
      <w:r w:rsidRPr="007C57C8">
        <w:rPr>
          <w:rStyle w:val="FootnoteReference"/>
          <w:rFonts w:ascii="Arial" w:hAnsi="Arial" w:cs="Arial"/>
          <w:color w:val="000000" w:themeColor="text1"/>
        </w:rPr>
        <w:footnoteReference w:id="1"/>
      </w:r>
      <w:r w:rsidRPr="007C57C8">
        <w:rPr>
          <w:rFonts w:ascii="Arial" w:hAnsi="Arial" w:cs="Arial"/>
          <w:color w:val="000000" w:themeColor="text1"/>
        </w:rPr>
        <w:t xml:space="preserve">, practices are required to transfer patient records using GP2GP; this supports the objective set out by the </w:t>
      </w:r>
      <w:r w:rsidR="003743F9">
        <w:rPr>
          <w:rFonts w:ascii="Arial" w:hAnsi="Arial" w:cs="Arial"/>
          <w:color w:val="000000" w:themeColor="text1"/>
        </w:rPr>
        <w:t xml:space="preserve">Department of </w:t>
      </w:r>
      <w:r w:rsidRPr="007C57C8">
        <w:rPr>
          <w:rFonts w:ascii="Arial" w:hAnsi="Arial" w:cs="Arial"/>
          <w:color w:val="000000" w:themeColor="text1"/>
        </w:rPr>
        <w:t xml:space="preserve">Health, which was to ensure </w:t>
      </w:r>
      <w:r w:rsidR="00B94671">
        <w:rPr>
          <w:rFonts w:ascii="Arial" w:hAnsi="Arial" w:cs="Arial"/>
          <w:color w:val="000000" w:themeColor="text1"/>
        </w:rPr>
        <w:t xml:space="preserve">that </w:t>
      </w:r>
      <w:r w:rsidRPr="007C57C8">
        <w:rPr>
          <w:rFonts w:ascii="Arial" w:hAnsi="Arial" w:cs="Arial"/>
          <w:color w:val="000000" w:themeColor="text1"/>
        </w:rPr>
        <w:t xml:space="preserve">the patient’s digital record is able to follow them around the health and social care organisation.   </w:t>
      </w:r>
    </w:p>
    <w:p w14:paraId="418D1206" w14:textId="423A69C5" w:rsidR="00CD211E" w:rsidRDefault="00421B2F" w:rsidP="00CD211E">
      <w:pPr>
        <w:rPr>
          <w:rFonts w:ascii="Arial" w:hAnsi="Arial" w:cs="Arial"/>
          <w:lang w:val="en-US"/>
        </w:rPr>
      </w:pPr>
      <w:r>
        <w:rPr>
          <w:rFonts w:ascii="Arial" w:hAnsi="Arial" w:cs="Arial"/>
          <w:lang w:val="en-US"/>
        </w:rPr>
        <w:t>The p</w:t>
      </w:r>
      <w:r w:rsidR="00CD211E">
        <w:rPr>
          <w:rFonts w:ascii="Arial" w:hAnsi="Arial" w:cs="Arial"/>
          <w:lang w:val="en-US"/>
        </w:rPr>
        <w:t>ractice aims to design and implement policies and procedures that meet the diverse needs of our service and workforce, ensuring that none a</w:t>
      </w:r>
      <w:r w:rsidR="00E77A6B">
        <w:rPr>
          <w:rFonts w:ascii="Arial" w:hAnsi="Arial" w:cs="Arial"/>
          <w:lang w:val="en-US"/>
        </w:rPr>
        <w:t>re placed at a disadvantage compared with</w:t>
      </w:r>
      <w:r w:rsidR="00CD211E">
        <w:rPr>
          <w:rFonts w:ascii="Arial" w:hAnsi="Arial" w:cs="Arial"/>
          <w:lang w:val="en-US"/>
        </w:rPr>
        <w:t xml:space="preserve"> others, in accordance with the Equality Act 2010. Consideration has been given to the impact t</w:t>
      </w:r>
      <w:r w:rsidR="00E77A6B">
        <w:rPr>
          <w:rFonts w:ascii="Arial" w:hAnsi="Arial" w:cs="Arial"/>
          <w:lang w:val="en-US"/>
        </w:rPr>
        <w:t>his policy might have in regard</w:t>
      </w:r>
      <w:r w:rsidR="00CD211E">
        <w:rPr>
          <w:rFonts w:ascii="Arial" w:hAnsi="Arial" w:cs="Arial"/>
          <w:lang w:val="en-US"/>
        </w:rPr>
        <w:t xml:space="preserve"> to the individual protected characteristics of those to whom it applies.</w:t>
      </w:r>
    </w:p>
    <w:p w14:paraId="5BF94D17" w14:textId="2ECE5FB9"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535572138"/>
      <w:r>
        <w:rPr>
          <w:sz w:val="28"/>
          <w:szCs w:val="28"/>
        </w:rPr>
        <w:lastRenderedPageBreak/>
        <w:t>Policy</w:t>
      </w:r>
      <w:bookmarkEnd w:id="7"/>
    </w:p>
    <w:p w14:paraId="060F4E31" w14:textId="491EF036" w:rsidR="00CD211E" w:rsidRPr="00DA3933" w:rsidRDefault="00DA3933" w:rsidP="00CD211E">
      <w:pPr>
        <w:pStyle w:val="Heading2"/>
        <w:rPr>
          <w:rFonts w:ascii="Arial" w:hAnsi="Arial" w:cs="Arial"/>
          <w:smallCaps w:val="0"/>
          <w:sz w:val="24"/>
          <w:szCs w:val="24"/>
        </w:rPr>
      </w:pPr>
      <w:bookmarkStart w:id="8" w:name="_Toc535572139"/>
      <w:r>
        <w:rPr>
          <w:rFonts w:ascii="Arial" w:hAnsi="Arial" w:cs="Arial"/>
          <w:smallCaps w:val="0"/>
          <w:sz w:val="24"/>
          <w:szCs w:val="24"/>
        </w:rPr>
        <w:t>Process o</w:t>
      </w:r>
      <w:r w:rsidR="007C57C8" w:rsidRPr="00DA3933">
        <w:rPr>
          <w:rFonts w:ascii="Arial" w:hAnsi="Arial" w:cs="Arial"/>
          <w:smallCaps w:val="0"/>
          <w:sz w:val="24"/>
          <w:szCs w:val="24"/>
        </w:rPr>
        <w:t>verview</w:t>
      </w:r>
      <w:bookmarkEnd w:id="8"/>
    </w:p>
    <w:p w14:paraId="14375152" w14:textId="09448436" w:rsidR="00CD211E" w:rsidRDefault="00CD211E" w:rsidP="00CD211E">
      <w:pPr>
        <w:rPr>
          <w:lang w:val="en-US"/>
        </w:rPr>
      </w:pPr>
    </w:p>
    <w:p w14:paraId="0C0997EB" w14:textId="66FD5E8C" w:rsidR="00B47D95" w:rsidRDefault="007C57C8" w:rsidP="00B47D95">
      <w:pPr>
        <w:spacing w:after="216"/>
        <w:rPr>
          <w:rFonts w:ascii="Arial" w:hAnsi="Arial" w:cs="Arial"/>
          <w:color w:val="000000" w:themeColor="text1"/>
          <w:lang w:eastAsia="en-GB"/>
        </w:rPr>
      </w:pPr>
      <w:r w:rsidRPr="00A42E8E">
        <w:rPr>
          <w:rFonts w:ascii="Arial" w:hAnsi="Arial" w:cs="Arial"/>
          <w:color w:val="000000" w:themeColor="text1"/>
          <w:lang w:eastAsia="en-GB"/>
        </w:rPr>
        <w:t>GP2GP is a three-stage process as detailed by NHS Digital</w:t>
      </w:r>
      <w:r w:rsidRPr="00A42E8E">
        <w:rPr>
          <w:rFonts w:ascii="Arial" w:hAnsi="Arial" w:cs="Arial"/>
          <w:color w:val="000000" w:themeColor="text1"/>
          <w:vertAlign w:val="superscript"/>
          <w:lang w:eastAsia="en-GB"/>
        </w:rPr>
        <w:t>1</w:t>
      </w:r>
      <w:r w:rsidR="003E1988">
        <w:rPr>
          <w:rFonts w:ascii="Arial" w:hAnsi="Arial" w:cs="Arial"/>
          <w:color w:val="000000" w:themeColor="text1"/>
          <w:lang w:eastAsia="en-GB"/>
        </w:rPr>
        <w:t xml:space="preserve">. Note, the </w:t>
      </w:r>
      <w:r w:rsidR="003E1988" w:rsidRPr="001E26E9">
        <w:rPr>
          <w:rFonts w:ascii="Arial" w:hAnsi="Arial" w:cs="Arial"/>
          <w:color w:val="000000" w:themeColor="text1"/>
          <w:lang w:eastAsia="en-GB"/>
        </w:rPr>
        <w:t>patient</w:t>
      </w:r>
      <w:r w:rsidR="000A4FC0">
        <w:rPr>
          <w:rFonts w:ascii="Arial" w:hAnsi="Arial" w:cs="Arial"/>
          <w:color w:val="000000" w:themeColor="text1"/>
          <w:lang w:eastAsia="en-GB"/>
        </w:rPr>
        <w:t>’</w:t>
      </w:r>
      <w:r w:rsidR="003E1988" w:rsidRPr="001E26E9">
        <w:rPr>
          <w:rFonts w:ascii="Arial" w:hAnsi="Arial" w:cs="Arial"/>
          <w:color w:val="000000" w:themeColor="text1"/>
          <w:lang w:eastAsia="en-GB"/>
        </w:rPr>
        <w:t xml:space="preserve">s new and old GP practices both need to be in England and </w:t>
      </w:r>
      <w:r w:rsidR="000A4FC0">
        <w:rPr>
          <w:rFonts w:ascii="Arial" w:hAnsi="Arial" w:cs="Arial"/>
          <w:color w:val="000000" w:themeColor="text1"/>
          <w:lang w:eastAsia="en-GB"/>
        </w:rPr>
        <w:t>both need to be using the</w:t>
      </w:r>
      <w:r w:rsidR="003E1988" w:rsidRPr="001E26E9">
        <w:rPr>
          <w:rFonts w:ascii="Arial" w:hAnsi="Arial" w:cs="Arial"/>
          <w:color w:val="000000" w:themeColor="text1"/>
          <w:lang w:eastAsia="en-GB"/>
        </w:rPr>
        <w:t xml:space="preserve"> GP2GP</w:t>
      </w:r>
      <w:r w:rsidR="000A4FC0">
        <w:rPr>
          <w:rFonts w:ascii="Arial" w:hAnsi="Arial" w:cs="Arial"/>
          <w:color w:val="000000" w:themeColor="text1"/>
          <w:lang w:eastAsia="en-GB"/>
        </w:rPr>
        <w:t xml:space="preserve"> system</w:t>
      </w:r>
      <w:r w:rsidR="003E1988" w:rsidRPr="001E26E9">
        <w:rPr>
          <w:rFonts w:ascii="Arial" w:hAnsi="Arial" w:cs="Arial"/>
          <w:color w:val="000000" w:themeColor="text1"/>
          <w:lang w:eastAsia="en-GB"/>
        </w:rPr>
        <w:t>.</w:t>
      </w:r>
    </w:p>
    <w:p w14:paraId="0324AFB3" w14:textId="77777777" w:rsidR="00F70018" w:rsidRDefault="00E77A6B" w:rsidP="00F70018">
      <w:pPr>
        <w:pStyle w:val="ListParagraph"/>
        <w:numPr>
          <w:ilvl w:val="0"/>
          <w:numId w:val="11"/>
        </w:numPr>
        <w:spacing w:before="225"/>
        <w:rPr>
          <w:rFonts w:ascii="Arial" w:eastAsia="Times New Roman" w:hAnsi="Arial" w:cs="Arial"/>
          <w:color w:val="000000" w:themeColor="text1"/>
          <w:spacing w:val="6"/>
          <w:lang w:eastAsia="en-GB"/>
        </w:rPr>
      </w:pPr>
      <w:r>
        <w:rPr>
          <w:rFonts w:ascii="Arial" w:eastAsia="Times New Roman" w:hAnsi="Arial" w:cs="Arial"/>
          <w:color w:val="000000" w:themeColor="text1"/>
          <w:spacing w:val="6"/>
          <w:lang w:eastAsia="en-GB"/>
        </w:rPr>
        <w:t>T</w:t>
      </w:r>
      <w:r w:rsidR="007C57C8" w:rsidRPr="00A42E8E">
        <w:rPr>
          <w:rFonts w:ascii="Arial" w:eastAsia="Times New Roman" w:hAnsi="Arial" w:cs="Arial"/>
          <w:color w:val="000000" w:themeColor="text1"/>
          <w:spacing w:val="6"/>
          <w:lang w:eastAsia="en-GB"/>
        </w:rPr>
        <w:t>he first stage is to register the new patient on the clinical system and perform a Personal Demographics Service search, to see if the patient has an entry on the Spine. A successful search and match will request their electronic health record to be sent</w:t>
      </w:r>
      <w:r>
        <w:rPr>
          <w:rFonts w:ascii="Arial" w:eastAsia="Times New Roman" w:hAnsi="Arial" w:cs="Arial"/>
          <w:color w:val="000000" w:themeColor="text1"/>
          <w:spacing w:val="6"/>
          <w:lang w:eastAsia="en-GB"/>
        </w:rPr>
        <w:t>.</w:t>
      </w:r>
    </w:p>
    <w:p w14:paraId="754ED0CD" w14:textId="77777777" w:rsidR="00F70018" w:rsidRDefault="00F70018" w:rsidP="00F70018">
      <w:pPr>
        <w:pStyle w:val="ListParagraph"/>
        <w:spacing w:before="225"/>
        <w:rPr>
          <w:rFonts w:ascii="Arial" w:eastAsia="Times New Roman" w:hAnsi="Arial" w:cs="Arial"/>
          <w:color w:val="000000" w:themeColor="text1"/>
          <w:spacing w:val="6"/>
          <w:lang w:eastAsia="en-GB"/>
        </w:rPr>
      </w:pPr>
    </w:p>
    <w:p w14:paraId="141B4A8D" w14:textId="31751FB9" w:rsidR="005A135A" w:rsidRPr="00F7021A" w:rsidRDefault="00E77A6B" w:rsidP="00F70018">
      <w:pPr>
        <w:pStyle w:val="ListParagraph"/>
        <w:numPr>
          <w:ilvl w:val="0"/>
          <w:numId w:val="11"/>
        </w:numPr>
        <w:spacing w:before="225"/>
        <w:rPr>
          <w:rFonts w:ascii="Arial" w:eastAsia="Times New Roman" w:hAnsi="Arial" w:cs="Arial"/>
          <w:color w:val="000000" w:themeColor="text1"/>
          <w:spacing w:val="6"/>
          <w:lang w:eastAsia="en-GB"/>
        </w:rPr>
      </w:pPr>
      <w:r w:rsidRPr="00F7021A">
        <w:rPr>
          <w:rFonts w:ascii="Arial" w:eastAsia="Times New Roman" w:hAnsi="Arial" w:cs="Arial"/>
          <w:color w:val="000000" w:themeColor="text1"/>
          <w:spacing w:val="6"/>
          <w:lang w:eastAsia="en-GB"/>
        </w:rPr>
        <w:t>T</w:t>
      </w:r>
      <w:r w:rsidR="007C57C8" w:rsidRPr="00F7021A">
        <w:rPr>
          <w:rFonts w:ascii="Arial" w:eastAsia="Times New Roman" w:hAnsi="Arial" w:cs="Arial"/>
          <w:color w:val="000000" w:themeColor="text1"/>
          <w:spacing w:val="6"/>
          <w:lang w:eastAsia="en-GB"/>
        </w:rPr>
        <w:t xml:space="preserve">he second stage, sending, is automated and usually takes </w:t>
      </w:r>
      <w:r w:rsidRPr="00F7021A">
        <w:rPr>
          <w:rFonts w:ascii="Arial" w:eastAsia="Times New Roman" w:hAnsi="Arial" w:cs="Arial"/>
          <w:color w:val="000000" w:themeColor="text1"/>
          <w:spacing w:val="6"/>
          <w:lang w:eastAsia="en-GB"/>
        </w:rPr>
        <w:t>no more than a couple of minutes.</w:t>
      </w:r>
    </w:p>
    <w:p w14:paraId="37C8E685" w14:textId="77777777" w:rsidR="005A135A" w:rsidRDefault="005A135A" w:rsidP="00F7021A">
      <w:pPr>
        <w:pStyle w:val="ListParagraph"/>
        <w:spacing w:before="225"/>
        <w:rPr>
          <w:rFonts w:ascii="Arial" w:eastAsia="Times New Roman" w:hAnsi="Arial" w:cs="Arial"/>
          <w:color w:val="000000" w:themeColor="text1"/>
          <w:spacing w:val="6"/>
          <w:lang w:eastAsia="en-GB"/>
        </w:rPr>
      </w:pPr>
    </w:p>
    <w:p w14:paraId="79DAD86E" w14:textId="2396D253" w:rsidR="007C57C8" w:rsidRDefault="00E77A6B" w:rsidP="007C57C8">
      <w:pPr>
        <w:pStyle w:val="ListParagraph"/>
        <w:numPr>
          <w:ilvl w:val="0"/>
          <w:numId w:val="11"/>
        </w:numPr>
        <w:spacing w:before="225"/>
        <w:rPr>
          <w:rFonts w:ascii="Arial" w:eastAsia="Times New Roman" w:hAnsi="Arial" w:cs="Arial"/>
          <w:color w:val="000000" w:themeColor="text1"/>
          <w:spacing w:val="6"/>
          <w:lang w:eastAsia="en-GB"/>
        </w:rPr>
      </w:pPr>
      <w:r>
        <w:rPr>
          <w:rFonts w:ascii="Arial" w:eastAsia="Times New Roman" w:hAnsi="Arial" w:cs="Arial"/>
          <w:color w:val="000000" w:themeColor="text1"/>
          <w:spacing w:val="6"/>
          <w:lang w:eastAsia="en-GB"/>
        </w:rPr>
        <w:t>O</w:t>
      </w:r>
      <w:r w:rsidR="007C57C8" w:rsidRPr="00A42E8E">
        <w:rPr>
          <w:rFonts w:ascii="Arial" w:eastAsia="Times New Roman" w:hAnsi="Arial" w:cs="Arial"/>
          <w:color w:val="000000" w:themeColor="text1"/>
          <w:spacing w:val="6"/>
          <w:lang w:eastAsia="en-GB"/>
        </w:rPr>
        <w:t xml:space="preserve">nce the record is received, the third stage is to integrate or file the record in the clinical system. This makes it available for use within the practice and also informs the sending practice </w:t>
      </w:r>
      <w:r w:rsidR="00DA3A67">
        <w:rPr>
          <w:rFonts w:ascii="Arial" w:eastAsia="Times New Roman" w:hAnsi="Arial" w:cs="Arial"/>
          <w:color w:val="000000" w:themeColor="text1"/>
          <w:spacing w:val="6"/>
          <w:lang w:eastAsia="en-GB"/>
        </w:rPr>
        <w:t xml:space="preserve">if </w:t>
      </w:r>
      <w:r w:rsidR="007C57C8" w:rsidRPr="00A42E8E">
        <w:rPr>
          <w:rFonts w:ascii="Arial" w:eastAsia="Times New Roman" w:hAnsi="Arial" w:cs="Arial"/>
          <w:color w:val="000000" w:themeColor="text1"/>
          <w:spacing w:val="6"/>
          <w:lang w:eastAsia="en-GB"/>
        </w:rPr>
        <w:t>they need to print copies of the record or attachments, before they send the Lloyd George envelope to the new practice.</w:t>
      </w:r>
    </w:p>
    <w:p w14:paraId="57F2441C" w14:textId="77777777" w:rsidR="00CA1A36" w:rsidRPr="00CA1A36" w:rsidRDefault="00CA1A36" w:rsidP="00CA1A36">
      <w:pPr>
        <w:pStyle w:val="ListParagraph"/>
        <w:rPr>
          <w:rFonts w:ascii="Arial" w:eastAsia="Times New Roman" w:hAnsi="Arial" w:cs="Arial"/>
          <w:color w:val="000000" w:themeColor="text1"/>
          <w:spacing w:val="6"/>
          <w:lang w:eastAsia="en-GB"/>
        </w:rPr>
      </w:pPr>
    </w:p>
    <w:p w14:paraId="6C3F39EE" w14:textId="2655DDEC" w:rsidR="00CA1A36" w:rsidRPr="00CA1A36" w:rsidRDefault="00CA1A36" w:rsidP="00CA1A36">
      <w:pPr>
        <w:rPr>
          <w:lang w:eastAsia="en-GB"/>
        </w:rPr>
      </w:pPr>
      <w:r w:rsidRPr="00CA1A36">
        <w:rPr>
          <w:rFonts w:ascii="Arial" w:hAnsi="Arial" w:cs="Arial"/>
          <w:color w:val="000000" w:themeColor="text1"/>
          <w:lang w:eastAsia="en-GB"/>
        </w:rPr>
        <w:t>NHS Digital advises that the integration process is to be carried out promptly, whil</w:t>
      </w:r>
      <w:r w:rsidR="00DA3A67">
        <w:rPr>
          <w:rFonts w:ascii="Arial" w:hAnsi="Arial" w:cs="Arial"/>
          <w:color w:val="000000" w:themeColor="text1"/>
          <w:lang w:eastAsia="en-GB"/>
        </w:rPr>
        <w:t>e</w:t>
      </w:r>
      <w:r w:rsidRPr="00CA1A36">
        <w:rPr>
          <w:rFonts w:ascii="Arial" w:hAnsi="Arial" w:cs="Arial"/>
          <w:color w:val="000000" w:themeColor="text1"/>
          <w:lang w:eastAsia="en-GB"/>
        </w:rPr>
        <w:t xml:space="preserve"> degrades and medication authorisation can be completed later by summarisers or clinicians. The GP2GP project’s message is clear: </w:t>
      </w:r>
      <w:r w:rsidRPr="00CA1A36">
        <w:rPr>
          <w:rFonts w:ascii="Arial" w:hAnsi="Arial" w:cs="Arial"/>
          <w:color w:val="4472C4" w:themeColor="accent1"/>
          <w:lang w:eastAsia="en-GB"/>
        </w:rPr>
        <w:t>‘Don’t wait – integrate!’</w:t>
      </w:r>
      <w:r w:rsidRPr="00CA1A36">
        <w:rPr>
          <w:rFonts w:ascii="Arial" w:hAnsi="Arial" w:cs="Arial"/>
          <w:color w:val="000000" w:themeColor="text1"/>
          <w:lang w:eastAsia="en-GB"/>
        </w:rPr>
        <w:t xml:space="preserve"> Integration should be carried out within eight days to avoid the sending practice printing a copy of the healthcare record, </w:t>
      </w:r>
      <w:r w:rsidR="00DA3A67">
        <w:rPr>
          <w:rFonts w:ascii="Arial" w:hAnsi="Arial" w:cs="Arial"/>
          <w:color w:val="000000" w:themeColor="text1"/>
          <w:lang w:eastAsia="en-GB"/>
        </w:rPr>
        <w:t xml:space="preserve">thereby </w:t>
      </w:r>
      <w:r w:rsidRPr="00CA1A36">
        <w:rPr>
          <w:rFonts w:ascii="Arial" w:hAnsi="Arial" w:cs="Arial"/>
          <w:color w:val="000000" w:themeColor="text1"/>
          <w:lang w:eastAsia="en-GB"/>
        </w:rPr>
        <w:t>reducing cost and workload for the sending practice.</w:t>
      </w:r>
    </w:p>
    <w:p w14:paraId="4E843DE8" w14:textId="4ABA4CEF" w:rsidR="00CD211E" w:rsidRPr="00DA3933" w:rsidRDefault="007C57C8" w:rsidP="00CD211E">
      <w:pPr>
        <w:pStyle w:val="Heading2"/>
        <w:rPr>
          <w:rFonts w:ascii="Arial" w:hAnsi="Arial" w:cs="Arial"/>
          <w:smallCaps w:val="0"/>
          <w:sz w:val="24"/>
          <w:szCs w:val="24"/>
        </w:rPr>
      </w:pPr>
      <w:bookmarkStart w:id="9" w:name="_Toc535572140"/>
      <w:r w:rsidRPr="00DA3933">
        <w:rPr>
          <w:rFonts w:ascii="Arial" w:hAnsi="Arial" w:cs="Arial"/>
          <w:smallCaps w:val="0"/>
          <w:sz w:val="24"/>
          <w:szCs w:val="24"/>
        </w:rPr>
        <w:t>Ben</w:t>
      </w:r>
      <w:r w:rsidR="003E1988">
        <w:rPr>
          <w:rFonts w:ascii="Arial" w:hAnsi="Arial" w:cs="Arial"/>
          <w:smallCaps w:val="0"/>
          <w:sz w:val="24"/>
          <w:szCs w:val="24"/>
        </w:rPr>
        <w:t>e</w:t>
      </w:r>
      <w:r w:rsidRPr="00DA3933">
        <w:rPr>
          <w:rFonts w:ascii="Arial" w:hAnsi="Arial" w:cs="Arial"/>
          <w:smallCaps w:val="0"/>
          <w:sz w:val="24"/>
          <w:szCs w:val="24"/>
        </w:rPr>
        <w:t>fits of GP2GP</w:t>
      </w:r>
      <w:bookmarkEnd w:id="9"/>
    </w:p>
    <w:p w14:paraId="4247DECC" w14:textId="77777777" w:rsidR="00CD211E" w:rsidRPr="00E53611" w:rsidRDefault="00CD211E" w:rsidP="00CD211E">
      <w:pPr>
        <w:rPr>
          <w:rFonts w:cstheme="minorHAnsi"/>
          <w:lang w:val="en-US"/>
        </w:rPr>
      </w:pPr>
    </w:p>
    <w:p w14:paraId="0B6F2DF2" w14:textId="77777777" w:rsidR="007C57C8" w:rsidRPr="007C57C8" w:rsidRDefault="007C57C8" w:rsidP="007C57C8">
      <w:pPr>
        <w:spacing w:after="216"/>
        <w:rPr>
          <w:rFonts w:ascii="Arial" w:hAnsi="Arial" w:cs="Arial"/>
          <w:color w:val="000000" w:themeColor="text1"/>
          <w:lang w:eastAsia="en-GB"/>
        </w:rPr>
      </w:pPr>
      <w:r w:rsidRPr="007C57C8">
        <w:rPr>
          <w:rFonts w:ascii="Arial" w:hAnsi="Arial" w:cs="Arial"/>
          <w:color w:val="000000" w:themeColor="text1"/>
          <w:lang w:eastAsia="en-GB"/>
        </w:rPr>
        <w:t>The benefits of GP2GP are:</w:t>
      </w:r>
    </w:p>
    <w:p w14:paraId="43425FD3" w14:textId="71856B32" w:rsidR="007C57C8" w:rsidRPr="007C57C8" w:rsidRDefault="00E77A6B" w:rsidP="007C57C8">
      <w:pPr>
        <w:pStyle w:val="ListParagraph"/>
        <w:numPr>
          <w:ilvl w:val="0"/>
          <w:numId w:val="12"/>
        </w:numPr>
        <w:spacing w:after="216"/>
        <w:rPr>
          <w:rFonts w:ascii="Arial" w:hAnsi="Arial" w:cs="Arial"/>
          <w:color w:val="000000" w:themeColor="text1"/>
          <w:lang w:eastAsia="en-GB"/>
        </w:rPr>
      </w:pPr>
      <w:r>
        <w:rPr>
          <w:rFonts w:ascii="Arial" w:hAnsi="Arial" w:cs="Arial"/>
          <w:color w:val="000000" w:themeColor="text1"/>
          <w:lang w:eastAsia="en-GB"/>
        </w:rPr>
        <w:t>Continuity of care</w:t>
      </w:r>
      <w:r w:rsidR="007950C4">
        <w:rPr>
          <w:rFonts w:ascii="Arial" w:hAnsi="Arial" w:cs="Arial"/>
          <w:color w:val="000000" w:themeColor="text1"/>
          <w:lang w:eastAsia="en-GB"/>
        </w:rPr>
        <w:t xml:space="preserve"> – </w:t>
      </w:r>
      <w:r w:rsidR="007C57C8" w:rsidRPr="007C57C8">
        <w:rPr>
          <w:rFonts w:ascii="Arial" w:hAnsi="Arial" w:cs="Arial"/>
          <w:color w:val="000000" w:themeColor="text1"/>
          <w:lang w:eastAsia="en-GB"/>
        </w:rPr>
        <w:t>patient records are available for the first consultation at the new practice</w:t>
      </w:r>
    </w:p>
    <w:p w14:paraId="6463035B" w14:textId="0D458B91" w:rsidR="007C57C8" w:rsidRPr="007C57C8" w:rsidRDefault="00E77A6B" w:rsidP="007C57C8">
      <w:pPr>
        <w:pStyle w:val="ListParagraph"/>
        <w:numPr>
          <w:ilvl w:val="0"/>
          <w:numId w:val="12"/>
        </w:numPr>
        <w:spacing w:after="216"/>
        <w:rPr>
          <w:rFonts w:ascii="Arial" w:hAnsi="Arial" w:cs="Arial"/>
          <w:color w:val="000000" w:themeColor="text1"/>
          <w:lang w:eastAsia="en-GB"/>
        </w:rPr>
      </w:pPr>
      <w:r>
        <w:rPr>
          <w:rFonts w:ascii="Arial" w:hAnsi="Arial" w:cs="Arial"/>
          <w:color w:val="000000" w:themeColor="text1"/>
          <w:lang w:eastAsia="en-GB"/>
        </w:rPr>
        <w:t>S</w:t>
      </w:r>
      <w:r w:rsidR="007C57C8" w:rsidRPr="007C57C8">
        <w:rPr>
          <w:rFonts w:ascii="Arial" w:hAnsi="Arial" w:cs="Arial"/>
          <w:color w:val="000000" w:themeColor="text1"/>
          <w:lang w:eastAsia="en-GB"/>
        </w:rPr>
        <w:t>afer prescribing as the new practice has a record of both current and previous medications</w:t>
      </w:r>
    </w:p>
    <w:p w14:paraId="4584B4DE" w14:textId="40F1A900" w:rsidR="007C57C8" w:rsidRPr="007C57C8" w:rsidRDefault="00E77A6B" w:rsidP="007C57C8">
      <w:pPr>
        <w:pStyle w:val="ListParagraph"/>
        <w:numPr>
          <w:ilvl w:val="0"/>
          <w:numId w:val="12"/>
        </w:numPr>
        <w:spacing w:after="216"/>
        <w:rPr>
          <w:rFonts w:ascii="Arial" w:hAnsi="Arial" w:cs="Arial"/>
          <w:color w:val="000000" w:themeColor="text1"/>
          <w:lang w:eastAsia="en-GB"/>
        </w:rPr>
      </w:pPr>
      <w:r>
        <w:rPr>
          <w:rFonts w:ascii="Arial" w:hAnsi="Arial" w:cs="Arial"/>
          <w:color w:val="000000" w:themeColor="text1"/>
          <w:lang w:eastAsia="en-GB"/>
        </w:rPr>
        <w:t>R</w:t>
      </w:r>
      <w:r w:rsidR="007C57C8" w:rsidRPr="007C57C8">
        <w:rPr>
          <w:rFonts w:ascii="Arial" w:hAnsi="Arial" w:cs="Arial"/>
          <w:color w:val="000000" w:themeColor="text1"/>
          <w:lang w:eastAsia="en-GB"/>
        </w:rPr>
        <w:t>epeat medication information is readily available</w:t>
      </w:r>
    </w:p>
    <w:p w14:paraId="283D7CAA" w14:textId="4FB16E2D" w:rsidR="00CD211E" w:rsidRDefault="00E77A6B" w:rsidP="00CD211E">
      <w:pPr>
        <w:pStyle w:val="ListParagraph"/>
        <w:numPr>
          <w:ilvl w:val="0"/>
          <w:numId w:val="12"/>
        </w:numPr>
        <w:spacing w:after="216"/>
        <w:rPr>
          <w:rFonts w:ascii="Arial" w:hAnsi="Arial" w:cs="Arial"/>
          <w:color w:val="000000" w:themeColor="text1"/>
          <w:lang w:eastAsia="en-GB"/>
        </w:rPr>
      </w:pPr>
      <w:r>
        <w:rPr>
          <w:rFonts w:ascii="Arial" w:hAnsi="Arial" w:cs="Arial"/>
          <w:color w:val="000000" w:themeColor="text1"/>
          <w:lang w:eastAsia="en-GB"/>
        </w:rPr>
        <w:t>There is n</w:t>
      </w:r>
      <w:r w:rsidR="007C57C8" w:rsidRPr="007C57C8">
        <w:rPr>
          <w:rFonts w:ascii="Arial" w:hAnsi="Arial" w:cs="Arial"/>
          <w:color w:val="000000" w:themeColor="text1"/>
          <w:lang w:eastAsia="en-GB"/>
        </w:rPr>
        <w:t>o requirement for patients to provide a detailed history as this information is already available to their new clinical team</w:t>
      </w:r>
    </w:p>
    <w:p w14:paraId="0CEF61B6" w14:textId="6D534EF0" w:rsidR="003E1988" w:rsidRPr="00F7021A" w:rsidRDefault="003E1988" w:rsidP="00F7021A">
      <w:pPr>
        <w:pStyle w:val="Heading2"/>
        <w:rPr>
          <w:rFonts w:ascii="Arial" w:hAnsi="Arial" w:cs="Arial"/>
        </w:rPr>
      </w:pPr>
      <w:bookmarkStart w:id="10" w:name="_Toc535572141"/>
      <w:r w:rsidRPr="00F7021A">
        <w:rPr>
          <w:rFonts w:ascii="Arial" w:hAnsi="Arial" w:cs="Arial"/>
          <w:smallCaps w:val="0"/>
          <w:sz w:val="24"/>
          <w:szCs w:val="24"/>
        </w:rPr>
        <w:t>Reports and tools</w:t>
      </w:r>
      <w:bookmarkEnd w:id="10"/>
    </w:p>
    <w:p w14:paraId="30084201" w14:textId="5371A96C" w:rsidR="003E1988" w:rsidRDefault="003E1988" w:rsidP="00CA1A36">
      <w:pPr>
        <w:rPr>
          <w:lang w:val="en-US"/>
        </w:rPr>
      </w:pPr>
    </w:p>
    <w:p w14:paraId="4A7D751E" w14:textId="6F631A89" w:rsidR="00CA1A36" w:rsidRPr="00F7021A" w:rsidRDefault="00CA1A36" w:rsidP="00F7021A">
      <w:pPr>
        <w:rPr>
          <w:lang w:val="en-US"/>
        </w:rPr>
      </w:pPr>
      <w:r>
        <w:rPr>
          <w:rFonts w:ascii="Arial" w:hAnsi="Arial" w:cs="Arial"/>
          <w:color w:val="000000" w:themeColor="text1"/>
          <w:lang w:eastAsia="en-GB"/>
        </w:rPr>
        <w:t>A</w:t>
      </w:r>
      <w:r w:rsidRPr="003E1988">
        <w:rPr>
          <w:rFonts w:ascii="Arial" w:hAnsi="Arial" w:cs="Arial"/>
          <w:color w:val="000000" w:themeColor="text1"/>
          <w:lang w:eastAsia="en-GB"/>
        </w:rPr>
        <w:t xml:space="preserve"> monthly GP2GP utilisation report</w:t>
      </w:r>
      <w:r w:rsidR="007950C4">
        <w:rPr>
          <w:rFonts w:ascii="Arial" w:hAnsi="Arial" w:cs="Arial"/>
          <w:color w:val="000000" w:themeColor="text1"/>
          <w:lang w:eastAsia="en-GB"/>
        </w:rPr>
        <w:t>,</w:t>
      </w:r>
      <w:r w:rsidRPr="003E1988">
        <w:rPr>
          <w:rFonts w:ascii="Arial" w:hAnsi="Arial" w:cs="Arial"/>
          <w:color w:val="000000" w:themeColor="text1"/>
          <w:lang w:eastAsia="en-GB"/>
        </w:rPr>
        <w:t xml:space="preserve"> </w:t>
      </w:r>
      <w:r>
        <w:rPr>
          <w:rFonts w:ascii="Arial" w:hAnsi="Arial" w:cs="Arial"/>
          <w:color w:val="000000" w:themeColor="text1"/>
          <w:lang w:eastAsia="en-GB"/>
        </w:rPr>
        <w:t>showing all</w:t>
      </w:r>
      <w:r w:rsidRPr="003E1988">
        <w:rPr>
          <w:rFonts w:ascii="Arial" w:hAnsi="Arial" w:cs="Arial"/>
          <w:color w:val="000000" w:themeColor="text1"/>
          <w:lang w:eastAsia="en-GB"/>
        </w:rPr>
        <w:t xml:space="preserve"> </w:t>
      </w:r>
      <w:r>
        <w:rPr>
          <w:rFonts w:ascii="Arial" w:hAnsi="Arial" w:cs="Arial"/>
          <w:color w:val="000000" w:themeColor="text1"/>
          <w:lang w:eastAsia="en-GB"/>
        </w:rPr>
        <w:t xml:space="preserve">English </w:t>
      </w:r>
      <w:r w:rsidRPr="003E1988">
        <w:rPr>
          <w:rFonts w:ascii="Arial" w:hAnsi="Arial" w:cs="Arial"/>
          <w:color w:val="000000" w:themeColor="text1"/>
          <w:lang w:eastAsia="en-GB"/>
        </w:rPr>
        <w:t>practice</w:t>
      </w:r>
      <w:r>
        <w:rPr>
          <w:rFonts w:ascii="Arial" w:hAnsi="Arial" w:cs="Arial"/>
          <w:color w:val="000000" w:themeColor="text1"/>
          <w:lang w:eastAsia="en-GB"/>
        </w:rPr>
        <w:t>s</w:t>
      </w:r>
      <w:r w:rsidRPr="003E1988">
        <w:rPr>
          <w:rFonts w:ascii="Arial" w:hAnsi="Arial" w:cs="Arial"/>
          <w:color w:val="000000" w:themeColor="text1"/>
          <w:lang w:eastAsia="en-GB"/>
        </w:rPr>
        <w:t xml:space="preserve"> that use</w:t>
      </w:r>
      <w:r>
        <w:rPr>
          <w:rFonts w:ascii="Arial" w:hAnsi="Arial" w:cs="Arial"/>
          <w:color w:val="000000" w:themeColor="text1"/>
          <w:lang w:eastAsia="en-GB"/>
        </w:rPr>
        <w:t xml:space="preserve"> GP2GP</w:t>
      </w:r>
      <w:r w:rsidR="007950C4">
        <w:rPr>
          <w:rFonts w:ascii="Arial" w:hAnsi="Arial" w:cs="Arial"/>
          <w:color w:val="000000" w:themeColor="text1"/>
          <w:lang w:eastAsia="en-GB"/>
        </w:rPr>
        <w:t>,</w:t>
      </w:r>
      <w:r w:rsidRPr="003E1988">
        <w:rPr>
          <w:rFonts w:ascii="Arial" w:hAnsi="Arial" w:cs="Arial"/>
          <w:color w:val="000000" w:themeColor="text1"/>
          <w:lang w:eastAsia="en-GB"/>
        </w:rPr>
        <w:t xml:space="preserve"> </w:t>
      </w:r>
      <w:r>
        <w:rPr>
          <w:rFonts w:ascii="Arial" w:hAnsi="Arial" w:cs="Arial"/>
          <w:color w:val="000000" w:themeColor="text1"/>
          <w:lang w:eastAsia="en-GB"/>
        </w:rPr>
        <w:t>is provided to</w:t>
      </w:r>
      <w:r w:rsidRPr="003E1988">
        <w:rPr>
          <w:rFonts w:ascii="Arial" w:hAnsi="Arial" w:cs="Arial"/>
          <w:color w:val="000000" w:themeColor="text1"/>
          <w:lang w:eastAsia="en-GB"/>
        </w:rPr>
        <w:t xml:space="preserve"> CCGs and CSUs</w:t>
      </w:r>
      <w:r>
        <w:rPr>
          <w:rFonts w:ascii="Arial" w:hAnsi="Arial" w:cs="Arial"/>
          <w:color w:val="000000" w:themeColor="text1"/>
          <w:lang w:eastAsia="en-GB"/>
        </w:rPr>
        <w:t>.</w:t>
      </w:r>
    </w:p>
    <w:p w14:paraId="7260C3DF" w14:textId="5F86A91B" w:rsidR="007C57C8" w:rsidRPr="00DA3933" w:rsidRDefault="00DA3933" w:rsidP="007C57C8">
      <w:pPr>
        <w:pStyle w:val="Heading2"/>
        <w:rPr>
          <w:rFonts w:ascii="Arial" w:hAnsi="Arial" w:cs="Arial"/>
          <w:smallCaps w:val="0"/>
          <w:sz w:val="24"/>
          <w:szCs w:val="24"/>
        </w:rPr>
      </w:pPr>
      <w:bookmarkStart w:id="11" w:name="_Toc535572142"/>
      <w:r>
        <w:rPr>
          <w:rFonts w:ascii="Arial" w:hAnsi="Arial" w:cs="Arial"/>
          <w:smallCaps w:val="0"/>
          <w:sz w:val="24"/>
          <w:szCs w:val="24"/>
        </w:rPr>
        <w:lastRenderedPageBreak/>
        <w:t>Roles and r</w:t>
      </w:r>
      <w:r w:rsidR="00E77A6B" w:rsidRPr="00DA3933">
        <w:rPr>
          <w:rFonts w:ascii="Arial" w:hAnsi="Arial" w:cs="Arial"/>
          <w:smallCaps w:val="0"/>
          <w:sz w:val="24"/>
          <w:szCs w:val="24"/>
        </w:rPr>
        <w:t>esponsibilities</w:t>
      </w:r>
      <w:r w:rsidR="007C57C8" w:rsidRPr="00DA3933">
        <w:rPr>
          <w:rFonts w:ascii="Arial" w:hAnsi="Arial" w:cs="Arial"/>
          <w:smallCaps w:val="0"/>
          <w:sz w:val="24"/>
          <w:szCs w:val="24"/>
        </w:rPr>
        <w:t xml:space="preserve"> </w:t>
      </w:r>
      <w:bookmarkEnd w:id="11"/>
    </w:p>
    <w:p w14:paraId="59E45747" w14:textId="77777777" w:rsidR="00CD211E" w:rsidRPr="00E53611" w:rsidRDefault="00CD211E" w:rsidP="00CD211E">
      <w:pPr>
        <w:rPr>
          <w:lang w:val="en-US"/>
        </w:rPr>
      </w:pPr>
    </w:p>
    <w:p w14:paraId="458E4123" w14:textId="082524D9" w:rsidR="00A42E8E" w:rsidRPr="00A42E8E" w:rsidRDefault="00A42E8E" w:rsidP="00A42E8E">
      <w:pPr>
        <w:spacing w:after="216"/>
        <w:rPr>
          <w:rFonts w:ascii="Arial" w:hAnsi="Arial" w:cs="Arial"/>
          <w:color w:val="000000" w:themeColor="text1"/>
          <w:lang w:eastAsia="en-GB"/>
        </w:rPr>
      </w:pPr>
      <w:r w:rsidRPr="00A42E8E">
        <w:rPr>
          <w:rFonts w:ascii="Arial" w:hAnsi="Arial" w:cs="Arial"/>
          <w:color w:val="000000" w:themeColor="text1"/>
          <w:lang w:eastAsia="en-GB"/>
        </w:rPr>
        <w:t xml:space="preserve">At </w:t>
      </w:r>
      <w:r w:rsidR="00C9475A">
        <w:rPr>
          <w:rFonts w:ascii="Arial" w:hAnsi="Arial" w:cs="Arial"/>
          <w:color w:val="000000" w:themeColor="text1"/>
          <w:lang w:eastAsia="en-GB"/>
        </w:rPr>
        <w:t>Sheerwater Health Centre</w:t>
      </w:r>
      <w:r w:rsidRPr="00A42E8E">
        <w:rPr>
          <w:rFonts w:ascii="Arial" w:hAnsi="Arial" w:cs="Arial"/>
          <w:color w:val="000000" w:themeColor="text1"/>
          <w:lang w:eastAsia="en-GB"/>
        </w:rPr>
        <w:t>, the following roles and responsibilities regarding GP2GP apply</w:t>
      </w:r>
      <w:r w:rsidRPr="00A42E8E">
        <w:rPr>
          <w:rStyle w:val="FootnoteReference"/>
          <w:rFonts w:ascii="Arial" w:hAnsi="Arial" w:cs="Arial"/>
          <w:color w:val="000000" w:themeColor="text1"/>
          <w:lang w:eastAsia="en-GB"/>
        </w:rPr>
        <w:footnoteReference w:id="2"/>
      </w:r>
      <w:r w:rsidRPr="00A42E8E">
        <w:rPr>
          <w:rFonts w:ascii="Arial" w:hAnsi="Arial" w:cs="Arial"/>
          <w:color w:val="000000" w:themeColor="text1"/>
          <w:lang w:eastAsia="en-GB"/>
        </w:rPr>
        <w:t>:</w:t>
      </w:r>
    </w:p>
    <w:tbl>
      <w:tblPr>
        <w:tblStyle w:val="TableGrid"/>
        <w:tblW w:w="0" w:type="auto"/>
        <w:tblLook w:val="04A0" w:firstRow="1" w:lastRow="0" w:firstColumn="1" w:lastColumn="0" w:noHBand="0" w:noVBand="1"/>
      </w:tblPr>
      <w:tblGrid>
        <w:gridCol w:w="1705"/>
        <w:gridCol w:w="7305"/>
      </w:tblGrid>
      <w:tr w:rsidR="00A42E8E" w:rsidRPr="00A42E8E" w14:paraId="6D721384" w14:textId="77777777" w:rsidTr="00B6391D">
        <w:tc>
          <w:tcPr>
            <w:tcW w:w="1705" w:type="dxa"/>
            <w:shd w:val="clear" w:color="auto" w:fill="ACB9CA" w:themeFill="text2" w:themeFillTint="66"/>
          </w:tcPr>
          <w:p w14:paraId="7D65B420" w14:textId="68B1EB34" w:rsidR="00A42E8E" w:rsidRPr="00A42E8E" w:rsidRDefault="002135B1" w:rsidP="002135B1">
            <w:pPr>
              <w:spacing w:after="216"/>
              <w:jc w:val="center"/>
              <w:rPr>
                <w:rFonts w:ascii="Arial" w:hAnsi="Arial" w:cs="Arial"/>
                <w:b/>
                <w:color w:val="000000" w:themeColor="text1"/>
                <w:lang w:eastAsia="en-GB"/>
              </w:rPr>
            </w:pPr>
            <w:r>
              <w:rPr>
                <w:rFonts w:ascii="Arial" w:hAnsi="Arial" w:cs="Arial"/>
                <w:b/>
                <w:color w:val="000000" w:themeColor="text1"/>
                <w:lang w:eastAsia="en-GB"/>
              </w:rPr>
              <w:t>Responsible t</w:t>
            </w:r>
            <w:r w:rsidR="00A42E8E" w:rsidRPr="00A42E8E">
              <w:rPr>
                <w:rFonts w:ascii="Arial" w:hAnsi="Arial" w:cs="Arial"/>
                <w:b/>
                <w:color w:val="000000" w:themeColor="text1"/>
                <w:lang w:eastAsia="en-GB"/>
              </w:rPr>
              <w:t>eam</w:t>
            </w:r>
          </w:p>
        </w:tc>
        <w:tc>
          <w:tcPr>
            <w:tcW w:w="7305" w:type="dxa"/>
            <w:shd w:val="clear" w:color="auto" w:fill="ACB9CA" w:themeFill="text2" w:themeFillTint="66"/>
          </w:tcPr>
          <w:p w14:paraId="41BC3CB7" w14:textId="77777777" w:rsidR="00A42E8E" w:rsidRPr="00A42E8E" w:rsidRDefault="00A42E8E" w:rsidP="00B6391D">
            <w:pPr>
              <w:spacing w:after="216"/>
              <w:jc w:val="center"/>
              <w:rPr>
                <w:rFonts w:ascii="Arial" w:hAnsi="Arial" w:cs="Arial"/>
                <w:b/>
                <w:color w:val="000000" w:themeColor="text1"/>
                <w:lang w:eastAsia="en-GB"/>
              </w:rPr>
            </w:pPr>
            <w:r w:rsidRPr="00A42E8E">
              <w:rPr>
                <w:rFonts w:ascii="Arial" w:hAnsi="Arial" w:cs="Arial"/>
                <w:b/>
                <w:color w:val="000000" w:themeColor="text1"/>
                <w:lang w:eastAsia="en-GB"/>
              </w:rPr>
              <w:t>Role</w:t>
            </w:r>
          </w:p>
        </w:tc>
      </w:tr>
      <w:tr w:rsidR="00A42E8E" w:rsidRPr="00A42E8E" w14:paraId="3E186A30" w14:textId="77777777" w:rsidTr="00B6391D">
        <w:tc>
          <w:tcPr>
            <w:tcW w:w="1705" w:type="dxa"/>
          </w:tcPr>
          <w:p w14:paraId="4C63A364" w14:textId="77777777" w:rsidR="00A42E8E" w:rsidRPr="00A42E8E" w:rsidRDefault="00A42E8E" w:rsidP="00B6391D">
            <w:pPr>
              <w:spacing w:after="216"/>
              <w:rPr>
                <w:rFonts w:ascii="Arial" w:hAnsi="Arial" w:cs="Arial"/>
                <w:color w:val="000000" w:themeColor="text1"/>
                <w:lang w:eastAsia="en-GB"/>
              </w:rPr>
            </w:pPr>
            <w:r w:rsidRPr="00A42E8E">
              <w:rPr>
                <w:rFonts w:ascii="Arial" w:hAnsi="Arial" w:cs="Arial"/>
                <w:color w:val="000000" w:themeColor="text1"/>
                <w:lang w:eastAsia="en-GB"/>
              </w:rPr>
              <w:t>Reception</w:t>
            </w:r>
          </w:p>
        </w:tc>
        <w:tc>
          <w:tcPr>
            <w:tcW w:w="7305" w:type="dxa"/>
          </w:tcPr>
          <w:p w14:paraId="258017A9" w14:textId="1E11982C" w:rsidR="00A42E8E" w:rsidRPr="00A42E8E" w:rsidRDefault="00A42E8E" w:rsidP="00B6391D">
            <w:pPr>
              <w:pStyle w:val="p1"/>
              <w:rPr>
                <w:rFonts w:ascii="Arial" w:hAnsi="Arial" w:cs="Arial"/>
                <w:sz w:val="24"/>
                <w:szCs w:val="24"/>
              </w:rPr>
            </w:pPr>
            <w:r w:rsidRPr="00A42E8E">
              <w:rPr>
                <w:rFonts w:ascii="Arial" w:hAnsi="Arial" w:cs="Arial"/>
                <w:sz w:val="24"/>
                <w:szCs w:val="24"/>
              </w:rPr>
              <w:t>Check the correct inform</w:t>
            </w:r>
            <w:r w:rsidR="002135B1">
              <w:rPr>
                <w:rFonts w:ascii="Arial" w:hAnsi="Arial" w:cs="Arial"/>
                <w:sz w:val="24"/>
                <w:szCs w:val="24"/>
              </w:rPr>
              <w:t>ation is provided on the GMS1 (N</w:t>
            </w:r>
            <w:r w:rsidRPr="00A42E8E">
              <w:rPr>
                <w:rFonts w:ascii="Arial" w:hAnsi="Arial" w:cs="Arial"/>
                <w:sz w:val="24"/>
                <w:szCs w:val="24"/>
              </w:rPr>
              <w:t>ew patient registration form)</w:t>
            </w:r>
            <w:r w:rsidR="003743F9">
              <w:rPr>
                <w:rStyle w:val="FootnoteReference"/>
                <w:rFonts w:ascii="Arial" w:hAnsi="Arial" w:cs="Arial"/>
                <w:sz w:val="24"/>
                <w:szCs w:val="24"/>
              </w:rPr>
              <w:footnoteReference w:id="3"/>
            </w:r>
          </w:p>
        </w:tc>
      </w:tr>
      <w:tr w:rsidR="00A42E8E" w:rsidRPr="00A42E8E" w14:paraId="7694182A" w14:textId="77777777" w:rsidTr="00B6391D">
        <w:tc>
          <w:tcPr>
            <w:tcW w:w="1705" w:type="dxa"/>
          </w:tcPr>
          <w:p w14:paraId="49AE8B54" w14:textId="77777777" w:rsidR="00A42E8E" w:rsidRPr="00A42E8E" w:rsidRDefault="00A42E8E" w:rsidP="00B6391D">
            <w:pPr>
              <w:spacing w:after="216"/>
              <w:rPr>
                <w:rFonts w:ascii="Arial" w:hAnsi="Arial" w:cs="Arial"/>
                <w:color w:val="000000" w:themeColor="text1"/>
                <w:lang w:eastAsia="en-GB"/>
              </w:rPr>
            </w:pPr>
            <w:r w:rsidRPr="00A42E8E">
              <w:rPr>
                <w:rFonts w:ascii="Arial" w:hAnsi="Arial" w:cs="Arial"/>
                <w:color w:val="000000" w:themeColor="text1"/>
                <w:lang w:eastAsia="en-GB"/>
              </w:rPr>
              <w:t>Admin</w:t>
            </w:r>
          </w:p>
        </w:tc>
        <w:tc>
          <w:tcPr>
            <w:tcW w:w="7305" w:type="dxa"/>
          </w:tcPr>
          <w:p w14:paraId="4823F1D4" w14:textId="5B38DC73" w:rsidR="00A42E8E" w:rsidRPr="00A42E8E" w:rsidRDefault="002135B1" w:rsidP="00A42E8E">
            <w:pPr>
              <w:pStyle w:val="p1"/>
              <w:numPr>
                <w:ilvl w:val="0"/>
                <w:numId w:val="13"/>
              </w:numPr>
              <w:rPr>
                <w:rFonts w:ascii="Arial" w:hAnsi="Arial" w:cs="Arial"/>
                <w:sz w:val="24"/>
                <w:szCs w:val="24"/>
              </w:rPr>
            </w:pPr>
            <w:r>
              <w:rPr>
                <w:rFonts w:ascii="Arial" w:hAnsi="Arial" w:cs="Arial"/>
                <w:sz w:val="24"/>
                <w:szCs w:val="24"/>
              </w:rPr>
              <w:t>Register</w:t>
            </w:r>
            <w:r w:rsidR="00A42E8E" w:rsidRPr="00A42E8E">
              <w:rPr>
                <w:rFonts w:ascii="Arial" w:hAnsi="Arial" w:cs="Arial"/>
                <w:sz w:val="24"/>
                <w:szCs w:val="24"/>
              </w:rPr>
              <w:t xml:space="preserve"> new patients on </w:t>
            </w:r>
            <w:r w:rsidR="00C9475A">
              <w:rPr>
                <w:rFonts w:ascii="Arial" w:hAnsi="Arial" w:cs="Arial"/>
                <w:sz w:val="24"/>
                <w:szCs w:val="24"/>
              </w:rPr>
              <w:t>the EMIS</w:t>
            </w:r>
            <w:r w:rsidR="00A42E8E" w:rsidRPr="00A42E8E">
              <w:rPr>
                <w:rFonts w:ascii="Arial" w:hAnsi="Arial" w:cs="Arial"/>
                <w:sz w:val="24"/>
                <w:szCs w:val="24"/>
              </w:rPr>
              <w:t xml:space="preserve">, ensuring </w:t>
            </w:r>
            <w:r>
              <w:rPr>
                <w:rFonts w:ascii="Arial" w:hAnsi="Arial" w:cs="Arial"/>
                <w:sz w:val="24"/>
                <w:szCs w:val="24"/>
              </w:rPr>
              <w:t xml:space="preserve">that a Personal Demographics Service </w:t>
            </w:r>
            <w:r w:rsidR="00A42E8E" w:rsidRPr="00A42E8E">
              <w:rPr>
                <w:rFonts w:ascii="Arial" w:hAnsi="Arial" w:cs="Arial"/>
                <w:sz w:val="24"/>
                <w:szCs w:val="24"/>
              </w:rPr>
              <w:t>(PDS) match is undertaken to trace the patient</w:t>
            </w:r>
          </w:p>
          <w:p w14:paraId="14BA50B8" w14:textId="6CB2633A" w:rsidR="00A42E8E" w:rsidRPr="002135B1" w:rsidRDefault="00A42E8E" w:rsidP="00B6391D">
            <w:pPr>
              <w:pStyle w:val="p1"/>
              <w:numPr>
                <w:ilvl w:val="0"/>
                <w:numId w:val="13"/>
              </w:numPr>
              <w:rPr>
                <w:rFonts w:ascii="Arial" w:hAnsi="Arial" w:cs="Arial"/>
                <w:sz w:val="24"/>
                <w:szCs w:val="24"/>
              </w:rPr>
            </w:pPr>
            <w:r w:rsidRPr="002135B1">
              <w:rPr>
                <w:rFonts w:ascii="Arial" w:hAnsi="Arial" w:cs="Arial"/>
                <w:sz w:val="24"/>
                <w:szCs w:val="24"/>
              </w:rPr>
              <w:t>Regular monitoring of the GP2GP folders to manage associated</w:t>
            </w:r>
            <w:r w:rsidR="002135B1">
              <w:rPr>
                <w:rFonts w:ascii="Arial" w:hAnsi="Arial" w:cs="Arial"/>
                <w:sz w:val="24"/>
                <w:szCs w:val="24"/>
              </w:rPr>
              <w:t xml:space="preserve"> </w:t>
            </w:r>
            <w:r w:rsidRPr="002135B1">
              <w:rPr>
                <w:rFonts w:ascii="Arial" w:hAnsi="Arial" w:cs="Arial"/>
                <w:sz w:val="24"/>
                <w:szCs w:val="24"/>
              </w:rPr>
              <w:t>tasks and report any errors</w:t>
            </w:r>
          </w:p>
          <w:p w14:paraId="4AB75712" w14:textId="46313FB4" w:rsidR="00A42E8E" w:rsidRPr="00A42E8E" w:rsidRDefault="002135B1" w:rsidP="00A42E8E">
            <w:pPr>
              <w:pStyle w:val="p1"/>
              <w:numPr>
                <w:ilvl w:val="0"/>
                <w:numId w:val="14"/>
              </w:numPr>
              <w:rPr>
                <w:rFonts w:ascii="Arial" w:hAnsi="Arial" w:cs="Arial"/>
                <w:sz w:val="24"/>
                <w:szCs w:val="24"/>
              </w:rPr>
            </w:pPr>
            <w:r>
              <w:rPr>
                <w:rFonts w:ascii="Arial" w:hAnsi="Arial" w:cs="Arial"/>
                <w:sz w:val="24"/>
                <w:szCs w:val="24"/>
              </w:rPr>
              <w:t>File</w:t>
            </w:r>
            <w:r w:rsidR="00A42E8E" w:rsidRPr="00A42E8E">
              <w:rPr>
                <w:rFonts w:ascii="Arial" w:hAnsi="Arial" w:cs="Arial"/>
                <w:sz w:val="24"/>
                <w:szCs w:val="24"/>
              </w:rPr>
              <w:t xml:space="preserve"> the received records</w:t>
            </w:r>
          </w:p>
        </w:tc>
      </w:tr>
      <w:tr w:rsidR="00A42E8E" w:rsidRPr="00A42E8E" w14:paraId="49480F34" w14:textId="77777777" w:rsidTr="00B6391D">
        <w:tc>
          <w:tcPr>
            <w:tcW w:w="1705" w:type="dxa"/>
          </w:tcPr>
          <w:p w14:paraId="2A70002A" w14:textId="77777777" w:rsidR="00A42E8E" w:rsidRPr="00A42E8E" w:rsidRDefault="00A42E8E" w:rsidP="00B6391D">
            <w:pPr>
              <w:spacing w:after="216"/>
              <w:rPr>
                <w:rFonts w:ascii="Arial" w:hAnsi="Arial" w:cs="Arial"/>
                <w:color w:val="000000" w:themeColor="text1"/>
                <w:lang w:eastAsia="en-GB"/>
              </w:rPr>
            </w:pPr>
            <w:r w:rsidRPr="00A42E8E">
              <w:rPr>
                <w:rFonts w:ascii="Arial" w:hAnsi="Arial" w:cs="Arial"/>
                <w:color w:val="000000" w:themeColor="text1"/>
                <w:lang w:eastAsia="en-GB"/>
              </w:rPr>
              <w:t>Summariser</w:t>
            </w:r>
          </w:p>
        </w:tc>
        <w:tc>
          <w:tcPr>
            <w:tcW w:w="7305" w:type="dxa"/>
          </w:tcPr>
          <w:p w14:paraId="4544728E" w14:textId="2566B0AA" w:rsidR="00A42E8E" w:rsidRDefault="00A42E8E" w:rsidP="00F7021A">
            <w:pPr>
              <w:pStyle w:val="ListParagraph"/>
              <w:numPr>
                <w:ilvl w:val="0"/>
                <w:numId w:val="14"/>
              </w:numPr>
              <w:spacing w:after="216"/>
              <w:rPr>
                <w:rFonts w:ascii="Arial" w:hAnsi="Arial" w:cs="Arial"/>
                <w:color w:val="000000" w:themeColor="text1"/>
                <w:lang w:eastAsia="en-GB"/>
              </w:rPr>
            </w:pPr>
            <w:r w:rsidRPr="00F7021A">
              <w:rPr>
                <w:rFonts w:ascii="Arial" w:hAnsi="Arial" w:cs="Arial"/>
                <w:color w:val="000000" w:themeColor="text1"/>
                <w:lang w:eastAsia="en-GB"/>
              </w:rPr>
              <w:t xml:space="preserve">Summarise Lloyd George </w:t>
            </w:r>
            <w:r w:rsidR="007950C4">
              <w:rPr>
                <w:rFonts w:ascii="Arial" w:hAnsi="Arial" w:cs="Arial"/>
                <w:color w:val="000000" w:themeColor="text1"/>
                <w:lang w:eastAsia="en-GB"/>
              </w:rPr>
              <w:t xml:space="preserve">envelope </w:t>
            </w:r>
            <w:r w:rsidRPr="00F7021A">
              <w:rPr>
                <w:rFonts w:ascii="Arial" w:hAnsi="Arial" w:cs="Arial"/>
                <w:color w:val="000000" w:themeColor="text1"/>
                <w:lang w:eastAsia="en-GB"/>
              </w:rPr>
              <w:t>against the e-record</w:t>
            </w:r>
          </w:p>
          <w:p w14:paraId="25C31D4E" w14:textId="50EAB95C" w:rsidR="00F70018" w:rsidRPr="00F7021A" w:rsidRDefault="00F70018" w:rsidP="00F7021A">
            <w:pPr>
              <w:pStyle w:val="ListParagraph"/>
              <w:numPr>
                <w:ilvl w:val="0"/>
                <w:numId w:val="14"/>
              </w:numPr>
              <w:spacing w:after="216"/>
              <w:rPr>
                <w:rFonts w:ascii="Arial" w:hAnsi="Arial" w:cs="Arial"/>
                <w:color w:val="000000" w:themeColor="text1"/>
                <w:lang w:eastAsia="en-GB"/>
              </w:rPr>
            </w:pPr>
            <w:r w:rsidRPr="003E1988">
              <w:rPr>
                <w:rFonts w:ascii="Arial" w:hAnsi="Arial" w:cs="Arial"/>
                <w:color w:val="425563"/>
              </w:rPr>
              <w:t>P</w:t>
            </w:r>
            <w:r w:rsidRPr="00F7021A">
              <w:rPr>
                <w:rFonts w:ascii="Arial" w:hAnsi="Arial" w:cs="Arial"/>
                <w:color w:val="425563"/>
              </w:rPr>
              <w:t>rocess degrades and check the electronic health record received via GP2GP</w:t>
            </w:r>
          </w:p>
        </w:tc>
      </w:tr>
      <w:tr w:rsidR="00A42E8E" w:rsidRPr="00A42E8E" w14:paraId="48B67AF4" w14:textId="77777777" w:rsidTr="00B6391D">
        <w:tc>
          <w:tcPr>
            <w:tcW w:w="1705" w:type="dxa"/>
          </w:tcPr>
          <w:p w14:paraId="6C7C1DDF" w14:textId="77777777" w:rsidR="00A42E8E" w:rsidRPr="00A42E8E" w:rsidRDefault="00A42E8E" w:rsidP="00B6391D">
            <w:pPr>
              <w:spacing w:after="216"/>
              <w:rPr>
                <w:rFonts w:ascii="Arial" w:hAnsi="Arial" w:cs="Arial"/>
                <w:color w:val="000000" w:themeColor="text1"/>
                <w:lang w:eastAsia="en-GB"/>
              </w:rPr>
            </w:pPr>
            <w:r w:rsidRPr="00A42E8E">
              <w:rPr>
                <w:rFonts w:ascii="Arial" w:hAnsi="Arial" w:cs="Arial"/>
                <w:color w:val="000000" w:themeColor="text1"/>
                <w:lang w:eastAsia="en-GB"/>
              </w:rPr>
              <w:t>Clinician</w:t>
            </w:r>
          </w:p>
        </w:tc>
        <w:tc>
          <w:tcPr>
            <w:tcW w:w="7305" w:type="dxa"/>
          </w:tcPr>
          <w:p w14:paraId="7092E800" w14:textId="5D84AFCB" w:rsidR="00A42E8E" w:rsidRPr="00A42E8E" w:rsidRDefault="00A42E8E" w:rsidP="00A42E8E">
            <w:pPr>
              <w:pStyle w:val="ListParagraph"/>
              <w:numPr>
                <w:ilvl w:val="0"/>
                <w:numId w:val="14"/>
              </w:numPr>
              <w:spacing w:after="216"/>
              <w:rPr>
                <w:rFonts w:ascii="Arial" w:hAnsi="Arial" w:cs="Arial"/>
                <w:color w:val="000000" w:themeColor="text1"/>
                <w:lang w:eastAsia="en-GB"/>
              </w:rPr>
            </w:pPr>
            <w:r w:rsidRPr="00A42E8E">
              <w:rPr>
                <w:rFonts w:ascii="Arial" w:hAnsi="Arial" w:cs="Arial"/>
                <w:color w:val="000000" w:themeColor="text1"/>
                <w:lang w:eastAsia="en-GB"/>
              </w:rPr>
              <w:t>Review medication</w:t>
            </w:r>
            <w:r w:rsidR="002135B1">
              <w:rPr>
                <w:rFonts w:ascii="Arial" w:hAnsi="Arial" w:cs="Arial"/>
                <w:color w:val="000000" w:themeColor="text1"/>
                <w:lang w:eastAsia="en-GB"/>
              </w:rPr>
              <w:t>/</w:t>
            </w:r>
            <w:r w:rsidRPr="00A42E8E">
              <w:rPr>
                <w:rFonts w:ascii="Arial" w:hAnsi="Arial" w:cs="Arial"/>
                <w:color w:val="000000" w:themeColor="text1"/>
                <w:lang w:eastAsia="en-GB"/>
              </w:rPr>
              <w:t>authorise current repeats</w:t>
            </w:r>
          </w:p>
          <w:p w14:paraId="4EDB28BB" w14:textId="23E40DEC" w:rsidR="00A42E8E" w:rsidRPr="00A42E8E" w:rsidRDefault="00A42E8E" w:rsidP="002135B1">
            <w:pPr>
              <w:pStyle w:val="ListParagraph"/>
              <w:numPr>
                <w:ilvl w:val="0"/>
                <w:numId w:val="14"/>
              </w:numPr>
              <w:spacing w:after="216"/>
              <w:rPr>
                <w:rFonts w:ascii="Arial" w:hAnsi="Arial" w:cs="Arial"/>
                <w:color w:val="000000" w:themeColor="text1"/>
                <w:lang w:eastAsia="en-GB"/>
              </w:rPr>
            </w:pPr>
            <w:r w:rsidRPr="00A42E8E">
              <w:rPr>
                <w:rFonts w:ascii="Arial" w:hAnsi="Arial" w:cs="Arial"/>
                <w:color w:val="000000" w:themeColor="text1"/>
                <w:lang w:eastAsia="en-GB"/>
              </w:rPr>
              <w:t>Review allergies</w:t>
            </w:r>
            <w:r w:rsidR="002135B1">
              <w:rPr>
                <w:rFonts w:ascii="Arial" w:hAnsi="Arial" w:cs="Arial"/>
                <w:color w:val="000000" w:themeColor="text1"/>
                <w:lang w:eastAsia="en-GB"/>
              </w:rPr>
              <w:t>/</w:t>
            </w:r>
            <w:r w:rsidRPr="00A42E8E">
              <w:rPr>
                <w:rFonts w:ascii="Arial" w:hAnsi="Arial" w:cs="Arial"/>
                <w:color w:val="000000" w:themeColor="text1"/>
                <w:lang w:eastAsia="en-GB"/>
              </w:rPr>
              <w:t>adverse reactions (ensuring the</w:t>
            </w:r>
            <w:r w:rsidR="002135B1">
              <w:rPr>
                <w:rFonts w:ascii="Arial" w:hAnsi="Arial" w:cs="Arial"/>
                <w:color w:val="000000" w:themeColor="text1"/>
                <w:lang w:eastAsia="en-GB"/>
              </w:rPr>
              <w:t>y are appropriately read</w:t>
            </w:r>
            <w:r w:rsidR="007950C4">
              <w:rPr>
                <w:rFonts w:ascii="Arial" w:hAnsi="Arial" w:cs="Arial"/>
                <w:color w:val="000000" w:themeColor="text1"/>
                <w:lang w:eastAsia="en-GB"/>
              </w:rPr>
              <w:t>-</w:t>
            </w:r>
            <w:r w:rsidR="002135B1">
              <w:rPr>
                <w:rFonts w:ascii="Arial" w:hAnsi="Arial" w:cs="Arial"/>
                <w:color w:val="000000" w:themeColor="text1"/>
                <w:lang w:eastAsia="en-GB"/>
              </w:rPr>
              <w:t>coded)</w:t>
            </w:r>
            <w:r w:rsidRPr="00A42E8E">
              <w:rPr>
                <w:rFonts w:ascii="Arial" w:hAnsi="Arial" w:cs="Arial"/>
                <w:color w:val="000000" w:themeColor="text1"/>
                <w:lang w:eastAsia="en-GB"/>
              </w:rPr>
              <w:t xml:space="preserve">  </w:t>
            </w:r>
          </w:p>
        </w:tc>
      </w:tr>
    </w:tbl>
    <w:p w14:paraId="1B97C77F" w14:textId="77777777" w:rsidR="00A42E8E" w:rsidRPr="00A42E8E" w:rsidRDefault="00A42E8E" w:rsidP="00A42E8E">
      <w:pPr>
        <w:spacing w:after="216"/>
        <w:rPr>
          <w:rFonts w:ascii="Arial" w:hAnsi="Arial" w:cs="Arial"/>
          <w:color w:val="000000" w:themeColor="text1"/>
          <w:lang w:eastAsia="en-GB"/>
        </w:rPr>
      </w:pPr>
    </w:p>
    <w:p w14:paraId="28CD1959" w14:textId="10B656C8" w:rsidR="00A42E8E" w:rsidRPr="00A42E8E" w:rsidRDefault="00A42E8E" w:rsidP="00A42E8E">
      <w:pPr>
        <w:spacing w:after="216"/>
        <w:rPr>
          <w:rFonts w:ascii="Arial" w:hAnsi="Arial" w:cs="Arial"/>
          <w:color w:val="000000" w:themeColor="text1"/>
          <w:lang w:eastAsia="en-GB"/>
        </w:rPr>
      </w:pPr>
      <w:r w:rsidRPr="00A42E8E">
        <w:rPr>
          <w:rFonts w:ascii="Arial" w:hAnsi="Arial" w:cs="Arial"/>
          <w:color w:val="000000" w:themeColor="text1"/>
          <w:lang w:eastAsia="en-GB"/>
        </w:rPr>
        <w:t xml:space="preserve">Detailed guidance regarding the responsibilities can be found at footnote 2 and staff at </w:t>
      </w:r>
      <w:r w:rsidR="00C9475A">
        <w:rPr>
          <w:rFonts w:ascii="Arial" w:hAnsi="Arial" w:cs="Arial"/>
          <w:color w:val="000000" w:themeColor="text1"/>
          <w:lang w:eastAsia="en-GB"/>
        </w:rPr>
        <w:t>Sheerwater Health Centre</w:t>
      </w:r>
      <w:r w:rsidRPr="00A42E8E">
        <w:rPr>
          <w:rFonts w:ascii="Arial" w:hAnsi="Arial" w:cs="Arial"/>
          <w:color w:val="000000" w:themeColor="text1"/>
          <w:lang w:eastAsia="en-GB"/>
        </w:rPr>
        <w:t xml:space="preserve"> are to read the guidance alongside this policy.</w:t>
      </w:r>
    </w:p>
    <w:p w14:paraId="55E9EFCD" w14:textId="17EF3518" w:rsidR="00A42E8E" w:rsidRPr="00DA3933" w:rsidRDefault="00A42E8E" w:rsidP="00A42E8E">
      <w:pPr>
        <w:pStyle w:val="Heading2"/>
        <w:rPr>
          <w:rFonts w:ascii="Arial" w:hAnsi="Arial" w:cs="Arial"/>
          <w:smallCaps w:val="0"/>
          <w:sz w:val="24"/>
          <w:szCs w:val="24"/>
        </w:rPr>
      </w:pPr>
      <w:bookmarkStart w:id="12" w:name="_Toc535572143"/>
      <w:r w:rsidRPr="00DA3933">
        <w:rPr>
          <w:rFonts w:ascii="Arial" w:hAnsi="Arial" w:cs="Arial"/>
          <w:smallCaps w:val="0"/>
          <w:sz w:val="24"/>
          <w:szCs w:val="24"/>
        </w:rPr>
        <w:t>Printing</w:t>
      </w:r>
      <w:bookmarkEnd w:id="12"/>
    </w:p>
    <w:p w14:paraId="7655884B" w14:textId="6A5510AC" w:rsidR="002C7888" w:rsidRDefault="002C7888" w:rsidP="00CD211E"/>
    <w:p w14:paraId="5DC771F9" w14:textId="77777777" w:rsidR="007E1878" w:rsidRDefault="00A42E8E" w:rsidP="00A42E8E">
      <w:pPr>
        <w:spacing w:after="216"/>
        <w:rPr>
          <w:rFonts w:ascii="Arial" w:hAnsi="Arial" w:cs="Arial"/>
          <w:color w:val="000000" w:themeColor="text1"/>
          <w:lang w:eastAsia="en-GB"/>
        </w:rPr>
      </w:pPr>
      <w:r w:rsidRPr="00A42E8E">
        <w:rPr>
          <w:rFonts w:ascii="Arial" w:hAnsi="Arial" w:cs="Arial"/>
          <w:color w:val="000000" w:themeColor="text1"/>
          <w:lang w:eastAsia="en-GB"/>
        </w:rPr>
        <w:t xml:space="preserve">One of the many benefits of GP2GP is reduced printing, </w:t>
      </w:r>
      <w:r w:rsidR="007E1878">
        <w:rPr>
          <w:rFonts w:ascii="Arial" w:hAnsi="Arial" w:cs="Arial"/>
          <w:color w:val="000000" w:themeColor="text1"/>
          <w:lang w:eastAsia="en-GB"/>
        </w:rPr>
        <w:t xml:space="preserve">as the system </w:t>
      </w:r>
      <w:r w:rsidRPr="00A42E8E">
        <w:rPr>
          <w:rFonts w:ascii="Arial" w:hAnsi="Arial" w:cs="Arial"/>
          <w:color w:val="000000" w:themeColor="text1"/>
          <w:lang w:eastAsia="en-GB"/>
        </w:rPr>
        <w:t>advises users (the sender) what, if any</w:t>
      </w:r>
      <w:r w:rsidR="004930D0">
        <w:rPr>
          <w:rFonts w:ascii="Arial" w:hAnsi="Arial" w:cs="Arial"/>
          <w:color w:val="000000" w:themeColor="text1"/>
          <w:lang w:eastAsia="en-GB"/>
        </w:rPr>
        <w:t>,</w:t>
      </w:r>
      <w:r w:rsidRPr="00A42E8E">
        <w:rPr>
          <w:rFonts w:ascii="Arial" w:hAnsi="Arial" w:cs="Arial"/>
          <w:color w:val="000000" w:themeColor="text1"/>
          <w:lang w:eastAsia="en-GB"/>
        </w:rPr>
        <w:t xml:space="preserve"> printing is required for the patient’s new practice.  </w:t>
      </w:r>
    </w:p>
    <w:p w14:paraId="29CFBB96" w14:textId="2DE1A978" w:rsidR="00A42E8E" w:rsidRPr="00A42E8E" w:rsidRDefault="00A42E8E" w:rsidP="00A42E8E">
      <w:pPr>
        <w:spacing w:after="216"/>
        <w:rPr>
          <w:rFonts w:ascii="Arial" w:hAnsi="Arial" w:cs="Arial"/>
          <w:color w:val="000000" w:themeColor="text1"/>
          <w:lang w:eastAsia="en-GB"/>
        </w:rPr>
      </w:pPr>
      <w:r w:rsidRPr="00A42E8E">
        <w:rPr>
          <w:rFonts w:ascii="Arial" w:hAnsi="Arial" w:cs="Arial"/>
          <w:color w:val="000000" w:themeColor="text1"/>
          <w:lang w:eastAsia="en-GB"/>
        </w:rPr>
        <w:t xml:space="preserve">At </w:t>
      </w:r>
      <w:r w:rsidR="00C9475A">
        <w:rPr>
          <w:rFonts w:ascii="Arial" w:hAnsi="Arial" w:cs="Arial"/>
          <w:color w:val="000000" w:themeColor="text1"/>
          <w:lang w:eastAsia="en-GB"/>
        </w:rPr>
        <w:t>Sheerwater Health Centre</w:t>
      </w:r>
      <w:r w:rsidRPr="00A42E8E">
        <w:rPr>
          <w:rFonts w:ascii="Arial" w:hAnsi="Arial" w:cs="Arial"/>
          <w:color w:val="000000" w:themeColor="text1"/>
          <w:lang w:eastAsia="en-GB"/>
        </w:rPr>
        <w:t xml:space="preserve">, </w:t>
      </w:r>
      <w:r w:rsidRPr="00C9475A">
        <w:rPr>
          <w:rFonts w:ascii="Arial" w:hAnsi="Arial" w:cs="Arial"/>
          <w:color w:val="000000" w:themeColor="text1"/>
          <w:lang w:eastAsia="en-GB"/>
        </w:rPr>
        <w:t xml:space="preserve">the administration team </w:t>
      </w:r>
      <w:r w:rsidR="007E1878" w:rsidRPr="00C9475A">
        <w:rPr>
          <w:rFonts w:ascii="Arial" w:hAnsi="Arial" w:cs="Arial"/>
          <w:color w:val="000000" w:themeColor="text1"/>
          <w:lang w:eastAsia="en-GB"/>
        </w:rPr>
        <w:t>is</w:t>
      </w:r>
      <w:r w:rsidRPr="00A42E8E">
        <w:rPr>
          <w:rFonts w:ascii="Arial" w:hAnsi="Arial" w:cs="Arial"/>
          <w:color w:val="000000" w:themeColor="text1"/>
          <w:lang w:eastAsia="en-GB"/>
        </w:rPr>
        <w:t xml:space="preserve"> to action such requests and ensure </w:t>
      </w:r>
      <w:r w:rsidR="007E1878">
        <w:rPr>
          <w:rFonts w:ascii="Arial" w:hAnsi="Arial" w:cs="Arial"/>
          <w:color w:val="000000" w:themeColor="text1"/>
          <w:lang w:eastAsia="en-GB"/>
        </w:rPr>
        <w:t xml:space="preserve">that </w:t>
      </w:r>
      <w:r w:rsidRPr="00A42E8E">
        <w:rPr>
          <w:rFonts w:ascii="Arial" w:hAnsi="Arial" w:cs="Arial"/>
          <w:color w:val="000000" w:themeColor="text1"/>
          <w:lang w:eastAsia="en-GB"/>
        </w:rPr>
        <w:t>the necessary documentation is printed and sent to the patient</w:t>
      </w:r>
      <w:r w:rsidR="004930D0">
        <w:rPr>
          <w:rFonts w:ascii="Arial" w:hAnsi="Arial" w:cs="Arial"/>
          <w:color w:val="000000" w:themeColor="text1"/>
          <w:lang w:eastAsia="en-GB"/>
        </w:rPr>
        <w:t>’</w:t>
      </w:r>
      <w:r w:rsidRPr="00A42E8E">
        <w:rPr>
          <w:rFonts w:ascii="Arial" w:hAnsi="Arial" w:cs="Arial"/>
          <w:color w:val="000000" w:themeColor="text1"/>
          <w:lang w:eastAsia="en-GB"/>
        </w:rPr>
        <w:t xml:space="preserve">s new practice </w:t>
      </w:r>
      <w:r w:rsidR="00C9475A">
        <w:rPr>
          <w:rFonts w:ascii="Arial" w:hAnsi="Arial" w:cs="Arial"/>
          <w:color w:val="000000" w:themeColor="text1"/>
          <w:lang w:eastAsia="en-GB"/>
        </w:rPr>
        <w:t>as soon as possible</w:t>
      </w:r>
      <w:r w:rsidRPr="00A42E8E">
        <w:rPr>
          <w:rFonts w:ascii="Arial" w:hAnsi="Arial" w:cs="Arial"/>
          <w:color w:val="000000" w:themeColor="text1"/>
          <w:lang w:eastAsia="en-GB"/>
        </w:rPr>
        <w:t xml:space="preserve">.   </w:t>
      </w:r>
    </w:p>
    <w:p w14:paraId="5C6D82FB" w14:textId="4764351F" w:rsidR="00A42E8E" w:rsidRPr="00DA3933" w:rsidRDefault="00DA3933" w:rsidP="00BA31EA">
      <w:pPr>
        <w:pStyle w:val="Heading2"/>
        <w:rPr>
          <w:rFonts w:ascii="Arial" w:hAnsi="Arial" w:cs="Arial"/>
          <w:smallCaps w:val="0"/>
          <w:sz w:val="24"/>
          <w:szCs w:val="24"/>
        </w:rPr>
      </w:pPr>
      <w:bookmarkStart w:id="13" w:name="_Toc535572144"/>
      <w:r>
        <w:rPr>
          <w:rFonts w:ascii="Arial" w:hAnsi="Arial" w:cs="Arial"/>
          <w:smallCaps w:val="0"/>
          <w:sz w:val="24"/>
          <w:szCs w:val="24"/>
        </w:rPr>
        <w:t>Data t</w:t>
      </w:r>
      <w:r w:rsidR="00A42E8E" w:rsidRPr="00DA3933">
        <w:rPr>
          <w:rFonts w:ascii="Arial" w:hAnsi="Arial" w:cs="Arial"/>
          <w:smallCaps w:val="0"/>
          <w:sz w:val="24"/>
          <w:szCs w:val="24"/>
        </w:rPr>
        <w:t>ransfer</w:t>
      </w:r>
      <w:bookmarkEnd w:id="13"/>
    </w:p>
    <w:p w14:paraId="3AE48EC6" w14:textId="021399C9" w:rsidR="00A42E8E" w:rsidRDefault="00A42E8E" w:rsidP="00A42E8E">
      <w:pPr>
        <w:rPr>
          <w:lang w:val="en-US"/>
        </w:rPr>
      </w:pPr>
    </w:p>
    <w:p w14:paraId="3F7FAC6C" w14:textId="383958AA" w:rsidR="00A42E8E" w:rsidRDefault="00A42E8E" w:rsidP="00A42E8E">
      <w:pPr>
        <w:spacing w:after="216"/>
        <w:rPr>
          <w:rFonts w:ascii="Arial" w:hAnsi="Arial" w:cs="Arial"/>
          <w:color w:val="000000" w:themeColor="text1"/>
          <w:lang w:eastAsia="en-GB"/>
        </w:rPr>
      </w:pPr>
      <w:r w:rsidRPr="00A42E8E">
        <w:rPr>
          <w:rFonts w:ascii="Arial" w:hAnsi="Arial" w:cs="Arial"/>
          <w:color w:val="000000" w:themeColor="text1"/>
          <w:lang w:eastAsia="en-GB"/>
        </w:rPr>
        <w:t>GP2GP version 2.2</w:t>
      </w:r>
      <w:r w:rsidR="001E26E9">
        <w:rPr>
          <w:rStyle w:val="FootnoteReference"/>
          <w:rFonts w:ascii="Arial" w:hAnsi="Arial" w:cs="Arial"/>
          <w:color w:val="000000" w:themeColor="text1"/>
          <w:lang w:eastAsia="en-GB"/>
        </w:rPr>
        <w:footnoteReference w:id="4"/>
      </w:r>
      <w:r w:rsidRPr="00A42E8E">
        <w:rPr>
          <w:rFonts w:ascii="Arial" w:hAnsi="Arial" w:cs="Arial"/>
          <w:color w:val="000000" w:themeColor="text1"/>
          <w:lang w:eastAsia="en-GB"/>
        </w:rPr>
        <w:t xml:space="preserve"> enables practices to transfer healthcare records </w:t>
      </w:r>
      <w:r w:rsidR="00EA49A1">
        <w:rPr>
          <w:rFonts w:ascii="Arial" w:hAnsi="Arial" w:cs="Arial"/>
          <w:color w:val="000000" w:themeColor="text1"/>
          <w:lang w:eastAsia="en-GB"/>
        </w:rPr>
        <w:t>that</w:t>
      </w:r>
      <w:r w:rsidRPr="00A42E8E">
        <w:rPr>
          <w:rFonts w:ascii="Arial" w:hAnsi="Arial" w:cs="Arial"/>
          <w:color w:val="000000" w:themeColor="text1"/>
          <w:lang w:eastAsia="en-GB"/>
        </w:rPr>
        <w:t xml:space="preserve"> are greater than 5MB or have in excess of 99 attachments.  </w:t>
      </w:r>
    </w:p>
    <w:p w14:paraId="20068F1E" w14:textId="0B0B568A" w:rsidR="00A42E8E" w:rsidRDefault="00A42E8E" w:rsidP="00A42E8E">
      <w:pPr>
        <w:spacing w:after="216"/>
        <w:rPr>
          <w:rFonts w:ascii="Arial" w:hAnsi="Arial" w:cs="Arial"/>
          <w:color w:val="000000" w:themeColor="text1"/>
          <w:lang w:eastAsia="en-GB"/>
        </w:rPr>
      </w:pPr>
      <w:r w:rsidRPr="00A42E8E">
        <w:rPr>
          <w:rFonts w:ascii="Arial" w:hAnsi="Arial" w:cs="Arial"/>
          <w:color w:val="000000" w:themeColor="text1"/>
          <w:lang w:eastAsia="en-GB"/>
        </w:rPr>
        <w:lastRenderedPageBreak/>
        <w:t>Both the sending and receiving practice</w:t>
      </w:r>
      <w:r w:rsidR="00EA49A1">
        <w:rPr>
          <w:rFonts w:ascii="Arial" w:hAnsi="Arial" w:cs="Arial"/>
          <w:color w:val="000000" w:themeColor="text1"/>
          <w:lang w:eastAsia="en-GB"/>
        </w:rPr>
        <w:t>s</w:t>
      </w:r>
      <w:r w:rsidRPr="00A42E8E">
        <w:rPr>
          <w:rFonts w:ascii="Arial" w:hAnsi="Arial" w:cs="Arial"/>
          <w:color w:val="000000" w:themeColor="text1"/>
          <w:lang w:eastAsia="en-GB"/>
        </w:rPr>
        <w:t xml:space="preserve"> must have version 2.2 to enable the transfer of large amounts of data.</w:t>
      </w:r>
    </w:p>
    <w:p w14:paraId="3299CD2B" w14:textId="54B0DA45" w:rsidR="00A42E8E" w:rsidRPr="00DA3933" w:rsidRDefault="00DA3933" w:rsidP="00A42E8E">
      <w:pPr>
        <w:pStyle w:val="Heading2"/>
        <w:rPr>
          <w:rFonts w:ascii="Arial" w:hAnsi="Arial" w:cs="Arial"/>
          <w:smallCaps w:val="0"/>
          <w:sz w:val="24"/>
          <w:szCs w:val="24"/>
        </w:rPr>
      </w:pPr>
      <w:bookmarkStart w:id="14" w:name="_Toc535572146"/>
      <w:r w:rsidRPr="00DA3933">
        <w:rPr>
          <w:rFonts w:ascii="Arial" w:hAnsi="Arial" w:cs="Arial"/>
          <w:smallCaps w:val="0"/>
          <w:sz w:val="24"/>
          <w:szCs w:val="24"/>
        </w:rPr>
        <w:t>User g</w:t>
      </w:r>
      <w:r w:rsidR="00A42E8E" w:rsidRPr="00DA3933">
        <w:rPr>
          <w:rFonts w:ascii="Arial" w:hAnsi="Arial" w:cs="Arial"/>
          <w:smallCaps w:val="0"/>
          <w:sz w:val="24"/>
          <w:szCs w:val="24"/>
        </w:rPr>
        <w:t>uides</w:t>
      </w:r>
      <w:bookmarkEnd w:id="14"/>
    </w:p>
    <w:p w14:paraId="48ACDC31" w14:textId="60383AE0" w:rsidR="00A42E8E" w:rsidRDefault="00A42E8E" w:rsidP="00A42E8E">
      <w:pPr>
        <w:rPr>
          <w:lang w:val="en-US"/>
        </w:rPr>
      </w:pPr>
    </w:p>
    <w:p w14:paraId="5A11D148" w14:textId="618C52B9" w:rsidR="00A42E8E" w:rsidRPr="00A42E8E" w:rsidRDefault="00F70018" w:rsidP="00A42E8E">
      <w:pPr>
        <w:spacing w:after="216"/>
        <w:rPr>
          <w:rFonts w:ascii="Arial" w:hAnsi="Arial" w:cs="Arial"/>
          <w:color w:val="000000" w:themeColor="text1"/>
          <w:lang w:eastAsia="en-GB"/>
        </w:rPr>
      </w:pPr>
      <w:r w:rsidRPr="00A42E8E">
        <w:rPr>
          <w:rFonts w:ascii="Arial" w:hAnsi="Arial" w:cs="Arial"/>
          <w:color w:val="000000" w:themeColor="text1"/>
          <w:lang w:eastAsia="en-GB"/>
        </w:rPr>
        <w:t xml:space="preserve">GP2GP </w:t>
      </w:r>
      <w:r>
        <w:rPr>
          <w:rFonts w:ascii="Arial" w:hAnsi="Arial" w:cs="Arial"/>
          <w:color w:val="000000" w:themeColor="text1"/>
          <w:lang w:eastAsia="en-GB"/>
        </w:rPr>
        <w:t>g</w:t>
      </w:r>
      <w:r w:rsidR="001E26E9" w:rsidRPr="001E26E9">
        <w:rPr>
          <w:rFonts w:ascii="Arial" w:hAnsi="Arial" w:cs="Arial"/>
          <w:color w:val="000000" w:themeColor="text1"/>
          <w:lang w:eastAsia="en-GB"/>
        </w:rPr>
        <w:t>uidelines and supplier training materials</w:t>
      </w:r>
      <w:r>
        <w:rPr>
          <w:rFonts w:ascii="Arial" w:hAnsi="Arial" w:cs="Arial"/>
          <w:color w:val="000000" w:themeColor="text1"/>
          <w:lang w:eastAsia="en-GB"/>
        </w:rPr>
        <w:t xml:space="preserve"> for</w:t>
      </w:r>
      <w:r w:rsidR="001E26E9">
        <w:rPr>
          <w:rFonts w:ascii="Arial" w:hAnsi="Arial" w:cs="Arial"/>
          <w:color w:val="000000" w:themeColor="text1"/>
          <w:lang w:eastAsia="en-GB"/>
        </w:rPr>
        <w:t xml:space="preserve"> </w:t>
      </w:r>
      <w:r w:rsidR="00C9475A">
        <w:rPr>
          <w:rFonts w:ascii="Arial" w:hAnsi="Arial" w:cs="Arial"/>
          <w:color w:val="000000" w:themeColor="text1"/>
          <w:lang w:eastAsia="en-GB"/>
        </w:rPr>
        <w:t>EMIS clinical system</w:t>
      </w:r>
      <w:r w:rsidRPr="00A42E8E">
        <w:rPr>
          <w:rFonts w:ascii="Arial" w:hAnsi="Arial" w:cs="Arial"/>
          <w:color w:val="000000" w:themeColor="text1"/>
          <w:lang w:eastAsia="en-GB"/>
        </w:rPr>
        <w:t xml:space="preserve"> </w:t>
      </w:r>
      <w:r w:rsidR="006045B0">
        <w:rPr>
          <w:rFonts w:ascii="Arial" w:hAnsi="Arial" w:cs="Arial"/>
          <w:color w:val="000000" w:themeColor="text1"/>
          <w:lang w:eastAsia="en-GB"/>
        </w:rPr>
        <w:t>are</w:t>
      </w:r>
      <w:r w:rsidR="00A42E8E" w:rsidRPr="00A42E8E">
        <w:rPr>
          <w:rFonts w:ascii="Arial" w:hAnsi="Arial" w:cs="Arial"/>
          <w:color w:val="000000" w:themeColor="text1"/>
          <w:lang w:eastAsia="en-GB"/>
        </w:rPr>
        <w:t xml:space="preserve"> a</w:t>
      </w:r>
      <w:r w:rsidR="004930D0">
        <w:rPr>
          <w:rFonts w:ascii="Arial" w:hAnsi="Arial" w:cs="Arial"/>
          <w:color w:val="000000" w:themeColor="text1"/>
          <w:lang w:eastAsia="en-GB"/>
        </w:rPr>
        <w:t>vailable at the following link</w:t>
      </w:r>
      <w:r w:rsidR="00A42E8E" w:rsidRPr="00A42E8E">
        <w:rPr>
          <w:rFonts w:ascii="Arial" w:hAnsi="Arial" w:cs="Arial"/>
          <w:color w:val="000000" w:themeColor="text1"/>
          <w:lang w:eastAsia="en-GB"/>
        </w:rPr>
        <w:t>:</w:t>
      </w:r>
    </w:p>
    <w:p w14:paraId="78968F92" w14:textId="4A9DC8A6" w:rsidR="00A42E8E" w:rsidRPr="00A42E8E" w:rsidRDefault="00000000" w:rsidP="00A42E8E">
      <w:pPr>
        <w:spacing w:after="216"/>
        <w:rPr>
          <w:rFonts w:ascii="Arial" w:hAnsi="Arial" w:cs="Arial"/>
          <w:color w:val="000000" w:themeColor="text1"/>
          <w:lang w:eastAsia="en-GB"/>
        </w:rPr>
      </w:pPr>
      <w:hyperlink r:id="rId9" w:history="1">
        <w:r w:rsidR="00A42E8E" w:rsidRPr="00A42E8E">
          <w:rPr>
            <w:rStyle w:val="Hyperlink"/>
            <w:rFonts w:ascii="Arial" w:hAnsi="Arial" w:cs="Arial"/>
            <w:lang w:eastAsia="en-GB"/>
          </w:rPr>
          <w:t>EMIS</w:t>
        </w:r>
      </w:hyperlink>
      <w:r w:rsidR="00A42E8E" w:rsidRPr="00A42E8E">
        <w:rPr>
          <w:rFonts w:ascii="Arial" w:hAnsi="Arial" w:cs="Arial"/>
          <w:color w:val="000000" w:themeColor="text1"/>
          <w:lang w:eastAsia="en-GB"/>
        </w:rPr>
        <w:t xml:space="preserve"> (sign</w:t>
      </w:r>
      <w:r w:rsidR="00F7280B">
        <w:rPr>
          <w:rFonts w:ascii="Arial" w:hAnsi="Arial" w:cs="Arial"/>
          <w:color w:val="000000" w:themeColor="text1"/>
          <w:lang w:eastAsia="en-GB"/>
        </w:rPr>
        <w:t>-</w:t>
      </w:r>
      <w:r w:rsidR="00A42E8E" w:rsidRPr="00A42E8E">
        <w:rPr>
          <w:rFonts w:ascii="Arial" w:hAnsi="Arial" w:cs="Arial"/>
          <w:color w:val="000000" w:themeColor="text1"/>
          <w:lang w:eastAsia="en-GB"/>
        </w:rPr>
        <w:t>in required)</w:t>
      </w:r>
    </w:p>
    <w:p w14:paraId="68378501" w14:textId="77777777" w:rsidR="00A42E8E" w:rsidRPr="00A42E8E" w:rsidRDefault="00A42E8E" w:rsidP="00A42E8E">
      <w:pPr>
        <w:rPr>
          <w:lang w:val="en-US"/>
        </w:rPr>
      </w:pPr>
    </w:p>
    <w:p w14:paraId="44FF6F4A" w14:textId="77777777" w:rsidR="00A42E8E" w:rsidRPr="00A42E8E" w:rsidRDefault="00A42E8E" w:rsidP="00A42E8E">
      <w:pPr>
        <w:rPr>
          <w:lang w:val="en-US"/>
        </w:rPr>
      </w:pPr>
    </w:p>
    <w:sectPr w:rsidR="00A42E8E" w:rsidRPr="00A42E8E" w:rsidSect="00E56898">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AAC7" w14:textId="77777777" w:rsidR="00186548" w:rsidRDefault="00186548" w:rsidP="001A7ADA">
      <w:r>
        <w:separator/>
      </w:r>
    </w:p>
  </w:endnote>
  <w:endnote w:type="continuationSeparator" w:id="0">
    <w:p w14:paraId="3CC7F4C6" w14:textId="77777777" w:rsidR="00186548" w:rsidRDefault="0018654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56CE79BB"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866">
      <w:rPr>
        <w:rStyle w:val="PageNumber"/>
        <w:noProof/>
      </w:rPr>
      <w:t>1</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B6F6" w14:textId="77777777" w:rsidR="00186548" w:rsidRDefault="00186548" w:rsidP="001A7ADA">
      <w:r>
        <w:separator/>
      </w:r>
    </w:p>
  </w:footnote>
  <w:footnote w:type="continuationSeparator" w:id="0">
    <w:p w14:paraId="67E8CFF3" w14:textId="77777777" w:rsidR="00186548" w:rsidRDefault="00186548" w:rsidP="001A7ADA">
      <w:r>
        <w:continuationSeparator/>
      </w:r>
    </w:p>
  </w:footnote>
  <w:footnote w:id="1">
    <w:p w14:paraId="0F6B22DD" w14:textId="77777777" w:rsidR="007C57C8" w:rsidRDefault="007C57C8" w:rsidP="007C57C8">
      <w:pPr>
        <w:pStyle w:val="FootnoteText"/>
      </w:pPr>
      <w:r>
        <w:rPr>
          <w:rStyle w:val="FootnoteReference"/>
        </w:rPr>
        <w:footnoteRef/>
      </w:r>
      <w:r>
        <w:t xml:space="preserve"> </w:t>
      </w:r>
      <w:hyperlink r:id="rId1" w:history="1">
        <w:r w:rsidRPr="00375788">
          <w:rPr>
            <w:rStyle w:val="Hyperlink"/>
          </w:rPr>
          <w:t>NHS Digital GP2GP</w:t>
        </w:r>
      </w:hyperlink>
    </w:p>
  </w:footnote>
  <w:footnote w:id="2">
    <w:p w14:paraId="5F522660" w14:textId="77777777" w:rsidR="00A42E8E" w:rsidRPr="00B7207A" w:rsidRDefault="00A42E8E" w:rsidP="00A42E8E">
      <w:pPr>
        <w:rPr>
          <w:rFonts w:eastAsia="Times New Roman"/>
          <w:lang w:eastAsia="en-GB"/>
        </w:rPr>
      </w:pPr>
      <w:r>
        <w:rPr>
          <w:rStyle w:val="FootnoteReference"/>
        </w:rPr>
        <w:footnoteRef/>
      </w:r>
      <w:r>
        <w:t xml:space="preserve"> </w:t>
      </w:r>
      <w:hyperlink r:id="rId2" w:history="1">
        <w:r>
          <w:rPr>
            <w:rStyle w:val="Hyperlink"/>
            <w:rFonts w:eastAsia="Times New Roman" w:cs="Arial"/>
            <w:color w:val="005EB8"/>
            <w:spacing w:val="6"/>
          </w:rPr>
          <w:t>GP2GP Key Activities 2017</w:t>
        </w:r>
      </w:hyperlink>
    </w:p>
  </w:footnote>
  <w:footnote w:id="3">
    <w:p w14:paraId="2407A10F" w14:textId="457B8896" w:rsidR="003743F9" w:rsidRDefault="003743F9">
      <w:pPr>
        <w:pStyle w:val="FootnoteText"/>
      </w:pPr>
      <w:r>
        <w:rPr>
          <w:rStyle w:val="FootnoteReference"/>
        </w:rPr>
        <w:footnoteRef/>
      </w:r>
      <w:r>
        <w:t xml:space="preserve"> </w:t>
      </w:r>
      <w:hyperlink r:id="rId3" w:history="1">
        <w:r>
          <w:rPr>
            <w:rStyle w:val="Hyperlink"/>
          </w:rPr>
          <w:t>GMS1 Form</w:t>
        </w:r>
      </w:hyperlink>
    </w:p>
    <w:p w14:paraId="010684BC" w14:textId="77777777" w:rsidR="003743F9" w:rsidRDefault="003743F9">
      <w:pPr>
        <w:pStyle w:val="FootnoteText"/>
      </w:pPr>
    </w:p>
  </w:footnote>
  <w:footnote w:id="4">
    <w:p w14:paraId="31364CF7" w14:textId="211562BE" w:rsidR="001E26E9" w:rsidRDefault="001E26E9">
      <w:pPr>
        <w:pStyle w:val="FootnoteText"/>
      </w:pPr>
      <w:r>
        <w:rPr>
          <w:rStyle w:val="FootnoteReference"/>
        </w:rPr>
        <w:footnoteRef/>
      </w:r>
      <w:r>
        <w:t xml:space="preserve"> </w:t>
      </w:r>
      <w:hyperlink r:id="rId4" w:history="1">
        <w:r>
          <w:rPr>
            <w:rStyle w:val="Hyperlink"/>
          </w:rPr>
          <w:t>GP2GP Version 2.2</w:t>
        </w:r>
      </w:hyperlink>
    </w:p>
    <w:p w14:paraId="5C1B46BB" w14:textId="77777777" w:rsidR="001E26E9" w:rsidRDefault="001E26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6FD9E9D7" w:rsidR="001A5A31" w:rsidRDefault="001A5A31" w:rsidP="001A5A31">
    <w:pPr>
      <w:pStyle w:val="Header"/>
      <w:jc w:val="center"/>
    </w:pPr>
  </w:p>
  <w:p w14:paraId="21077C18" w14:textId="77777777" w:rsidR="00225688" w:rsidRPr="00FC5AA8" w:rsidRDefault="00225688" w:rsidP="00225688">
    <w:pPr>
      <w:pStyle w:val="Header"/>
      <w:jc w:val="center"/>
      <w:rPr>
        <w:rFonts w:cs="Tahoma"/>
        <w:b/>
      </w:rPr>
    </w:pPr>
    <w:r>
      <w:rPr>
        <w:rFonts w:cs="Tahoma"/>
        <w:b/>
      </w:rPr>
      <w:t>SHEERWATER HEALTH CENTRE</w:t>
    </w:r>
  </w:p>
  <w:p w14:paraId="085CE0CF" w14:textId="77777777" w:rsidR="001A5A31" w:rsidRDefault="001A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CCD2C66"/>
    <w:multiLevelType w:val="hybridMultilevel"/>
    <w:tmpl w:val="05E4403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5154A"/>
    <w:multiLevelType w:val="hybridMultilevel"/>
    <w:tmpl w:val="961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A7DED"/>
    <w:multiLevelType w:val="multilevel"/>
    <w:tmpl w:val="8BE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75455"/>
    <w:multiLevelType w:val="multilevel"/>
    <w:tmpl w:val="07D03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867FF"/>
    <w:multiLevelType w:val="hybridMultilevel"/>
    <w:tmpl w:val="B8787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5700"/>
    <w:multiLevelType w:val="hybridMultilevel"/>
    <w:tmpl w:val="3E2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449476">
    <w:abstractNumId w:val="5"/>
  </w:num>
  <w:num w:numId="2" w16cid:durableId="487670418">
    <w:abstractNumId w:val="0"/>
  </w:num>
  <w:num w:numId="3" w16cid:durableId="1746489659">
    <w:abstractNumId w:val="7"/>
  </w:num>
  <w:num w:numId="4" w16cid:durableId="1562525197">
    <w:abstractNumId w:val="15"/>
  </w:num>
  <w:num w:numId="5" w16cid:durableId="1901205255">
    <w:abstractNumId w:val="13"/>
  </w:num>
  <w:num w:numId="6" w16cid:durableId="2111899583">
    <w:abstractNumId w:val="6"/>
  </w:num>
  <w:num w:numId="7" w16cid:durableId="1162158044">
    <w:abstractNumId w:val="1"/>
  </w:num>
  <w:num w:numId="8" w16cid:durableId="1058044895">
    <w:abstractNumId w:val="2"/>
  </w:num>
  <w:num w:numId="9" w16cid:durableId="1971589545">
    <w:abstractNumId w:val="9"/>
  </w:num>
  <w:num w:numId="10" w16cid:durableId="502598052">
    <w:abstractNumId w:val="3"/>
  </w:num>
  <w:num w:numId="11" w16cid:durableId="637610524">
    <w:abstractNumId w:val="12"/>
  </w:num>
  <w:num w:numId="12" w16cid:durableId="179706119">
    <w:abstractNumId w:val="4"/>
  </w:num>
  <w:num w:numId="13" w16cid:durableId="154222923">
    <w:abstractNumId w:val="8"/>
  </w:num>
  <w:num w:numId="14" w16cid:durableId="1666326190">
    <w:abstractNumId w:val="14"/>
  </w:num>
  <w:num w:numId="15" w16cid:durableId="1236017709">
    <w:abstractNumId w:val="11"/>
  </w:num>
  <w:num w:numId="16" w16cid:durableId="952439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4F"/>
    <w:rsid w:val="00050859"/>
    <w:rsid w:val="000525E2"/>
    <w:rsid w:val="000532E5"/>
    <w:rsid w:val="000A4FC0"/>
    <w:rsid w:val="000C08D7"/>
    <w:rsid w:val="000C63A7"/>
    <w:rsid w:val="000D64AA"/>
    <w:rsid w:val="000F5315"/>
    <w:rsid w:val="0011364B"/>
    <w:rsid w:val="00132D32"/>
    <w:rsid w:val="00134281"/>
    <w:rsid w:val="00174139"/>
    <w:rsid w:val="00186548"/>
    <w:rsid w:val="001A5A31"/>
    <w:rsid w:val="001A6369"/>
    <w:rsid w:val="001A7ADA"/>
    <w:rsid w:val="001E26E9"/>
    <w:rsid w:val="002135B1"/>
    <w:rsid w:val="00225688"/>
    <w:rsid w:val="00242BCA"/>
    <w:rsid w:val="00245B14"/>
    <w:rsid w:val="00250BC0"/>
    <w:rsid w:val="00253637"/>
    <w:rsid w:val="002A333B"/>
    <w:rsid w:val="002C04CE"/>
    <w:rsid w:val="002C7888"/>
    <w:rsid w:val="002C7AA5"/>
    <w:rsid w:val="002E0DC0"/>
    <w:rsid w:val="00340F32"/>
    <w:rsid w:val="003727CB"/>
    <w:rsid w:val="003743F9"/>
    <w:rsid w:val="00396043"/>
    <w:rsid w:val="003A093C"/>
    <w:rsid w:val="003E1988"/>
    <w:rsid w:val="00421B2F"/>
    <w:rsid w:val="0042260A"/>
    <w:rsid w:val="0043009A"/>
    <w:rsid w:val="00462EF4"/>
    <w:rsid w:val="0046350B"/>
    <w:rsid w:val="00480428"/>
    <w:rsid w:val="004804E4"/>
    <w:rsid w:val="004856D4"/>
    <w:rsid w:val="004930D0"/>
    <w:rsid w:val="004E0159"/>
    <w:rsid w:val="0055414F"/>
    <w:rsid w:val="005938B3"/>
    <w:rsid w:val="005A135A"/>
    <w:rsid w:val="005F25AB"/>
    <w:rsid w:val="006045B0"/>
    <w:rsid w:val="00650F93"/>
    <w:rsid w:val="006650B1"/>
    <w:rsid w:val="0069158E"/>
    <w:rsid w:val="00697E17"/>
    <w:rsid w:val="006B1093"/>
    <w:rsid w:val="006E1BE2"/>
    <w:rsid w:val="006F7434"/>
    <w:rsid w:val="006F7882"/>
    <w:rsid w:val="00705117"/>
    <w:rsid w:val="00741474"/>
    <w:rsid w:val="007950C4"/>
    <w:rsid w:val="007C57C8"/>
    <w:rsid w:val="007D28C5"/>
    <w:rsid w:val="007E1878"/>
    <w:rsid w:val="007F34C9"/>
    <w:rsid w:val="00845866"/>
    <w:rsid w:val="008706B5"/>
    <w:rsid w:val="008A330C"/>
    <w:rsid w:val="008C1536"/>
    <w:rsid w:val="008E14AD"/>
    <w:rsid w:val="00964E93"/>
    <w:rsid w:val="0097089C"/>
    <w:rsid w:val="00974822"/>
    <w:rsid w:val="009A600C"/>
    <w:rsid w:val="009C70BC"/>
    <w:rsid w:val="009D5A2B"/>
    <w:rsid w:val="00A16C3A"/>
    <w:rsid w:val="00A4249D"/>
    <w:rsid w:val="00A42E8E"/>
    <w:rsid w:val="00A555DD"/>
    <w:rsid w:val="00A55E33"/>
    <w:rsid w:val="00A64AE3"/>
    <w:rsid w:val="00A70E58"/>
    <w:rsid w:val="00A932FB"/>
    <w:rsid w:val="00A93C44"/>
    <w:rsid w:val="00AA05DE"/>
    <w:rsid w:val="00AA0D07"/>
    <w:rsid w:val="00AA25BE"/>
    <w:rsid w:val="00AB6453"/>
    <w:rsid w:val="00AC3A04"/>
    <w:rsid w:val="00AE0294"/>
    <w:rsid w:val="00AF05C1"/>
    <w:rsid w:val="00B34E05"/>
    <w:rsid w:val="00B430B4"/>
    <w:rsid w:val="00B47D95"/>
    <w:rsid w:val="00B80470"/>
    <w:rsid w:val="00B94671"/>
    <w:rsid w:val="00BB4D33"/>
    <w:rsid w:val="00BC6DBB"/>
    <w:rsid w:val="00BD2885"/>
    <w:rsid w:val="00BE1894"/>
    <w:rsid w:val="00BF0BFF"/>
    <w:rsid w:val="00C01026"/>
    <w:rsid w:val="00C2115E"/>
    <w:rsid w:val="00C2365E"/>
    <w:rsid w:val="00C330F5"/>
    <w:rsid w:val="00C531AC"/>
    <w:rsid w:val="00C9475A"/>
    <w:rsid w:val="00CA1A36"/>
    <w:rsid w:val="00CD211E"/>
    <w:rsid w:val="00CD7B50"/>
    <w:rsid w:val="00D344BA"/>
    <w:rsid w:val="00D4369F"/>
    <w:rsid w:val="00D51886"/>
    <w:rsid w:val="00D715E3"/>
    <w:rsid w:val="00D77819"/>
    <w:rsid w:val="00D86F8B"/>
    <w:rsid w:val="00D91812"/>
    <w:rsid w:val="00DA3933"/>
    <w:rsid w:val="00DA3A67"/>
    <w:rsid w:val="00DB0A65"/>
    <w:rsid w:val="00E3013A"/>
    <w:rsid w:val="00E4339F"/>
    <w:rsid w:val="00E551A5"/>
    <w:rsid w:val="00E56898"/>
    <w:rsid w:val="00E77A6B"/>
    <w:rsid w:val="00EA49A1"/>
    <w:rsid w:val="00ED1821"/>
    <w:rsid w:val="00F01EC2"/>
    <w:rsid w:val="00F317ED"/>
    <w:rsid w:val="00F62D77"/>
    <w:rsid w:val="00F70018"/>
    <w:rsid w:val="00F7021A"/>
    <w:rsid w:val="00F7280B"/>
    <w:rsid w:val="00F73C3F"/>
    <w:rsid w:val="00F970AB"/>
    <w:rsid w:val="00FB7B87"/>
    <w:rsid w:val="00FD12E5"/>
    <w:rsid w:val="00FD5D3E"/>
    <w:rsid w:val="00FE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E551A5"/>
    <w:rPr>
      <w:color w:val="954F72" w:themeColor="followedHyperlink"/>
      <w:u w:val="single"/>
    </w:rPr>
  </w:style>
  <w:style w:type="paragraph" w:styleId="Revision">
    <w:name w:val="Revision"/>
    <w:hidden/>
    <w:uiPriority w:val="99"/>
    <w:semiHidden/>
    <w:rsid w:val="00B4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3351">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portcentre.emishealth.com/app/login?redire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hs.uk/servicedirectories/Documents/GMS1.pdf" TargetMode="External"/><Relationship Id="rId2" Type="http://schemas.openxmlformats.org/officeDocument/2006/relationships/hyperlink" Target="https://digital.nhs.uk/media/805/GP2GP-Key-Activities/pdf/GP2GP_key_activities_2017_V0_4" TargetMode="External"/><Relationship Id="rId1" Type="http://schemas.openxmlformats.org/officeDocument/2006/relationships/hyperlink" Target="https://digital.nhs.uk/gp2gp" TargetMode="External"/><Relationship Id="rId4" Type="http://schemas.openxmlformats.org/officeDocument/2006/relationships/hyperlink" Target="https://digital.nhs.uk/services/gp2gp/gp2gp-versio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A9171F-8BF3-6C48-8C32-EED00628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dcterms:created xsi:type="dcterms:W3CDTF">2023-05-30T14:39:00Z</dcterms:created>
  <dcterms:modified xsi:type="dcterms:W3CDTF">2023-05-30T14:39:00Z</dcterms:modified>
  <cp:category/>
</cp:coreProperties>
</file>