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EEFF7" w14:textId="64A6A2B4" w:rsidR="00CD211E" w:rsidRPr="005C256E" w:rsidRDefault="007C1D3B" w:rsidP="003E3B00">
      <w:pPr>
        <w:jc w:val="center"/>
        <w:rPr>
          <w:rFonts w:ascii="Arial" w:hAnsi="Arial" w:cs="Arial"/>
          <w:b/>
          <w:sz w:val="36"/>
          <w:szCs w:val="36"/>
        </w:rPr>
      </w:pPr>
      <w:r w:rsidRPr="005C256E">
        <w:rPr>
          <w:rFonts w:ascii="Arial" w:hAnsi="Arial" w:cs="Arial"/>
          <w:b/>
          <w:sz w:val="36"/>
          <w:szCs w:val="36"/>
        </w:rPr>
        <w:t>Mental Capacity Act Policy</w:t>
      </w:r>
    </w:p>
    <w:p w14:paraId="0B653BCA" w14:textId="77777777" w:rsidR="007A0CF7" w:rsidRPr="005C256E" w:rsidRDefault="007A0CF7" w:rsidP="003E3B00">
      <w:pPr>
        <w:jc w:val="center"/>
        <w:rPr>
          <w:rFonts w:ascii="Arial" w:hAnsi="Arial" w:cs="Arial"/>
          <w:b/>
          <w:sz w:val="36"/>
          <w:szCs w:val="36"/>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3278"/>
      </w:tblGrid>
      <w:tr w:rsidR="003E3B00" w:rsidRPr="00C6640A" w14:paraId="46F8822E" w14:textId="77777777" w:rsidTr="00B50AA2">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25D3449" w14:textId="77777777" w:rsidR="003E3B00" w:rsidRPr="00C6640A" w:rsidRDefault="003E3B00" w:rsidP="007574EA">
            <w:pPr>
              <w:jc w:val="center"/>
              <w:rPr>
                <w:rFonts w:ascii="Arial" w:eastAsia="Arial" w:hAnsi="Arial" w:cs="Arial"/>
                <w:b/>
                <w:spacing w:val="-2"/>
                <w:sz w:val="26"/>
                <w:szCs w:val="26"/>
              </w:rPr>
            </w:pPr>
            <w:r w:rsidRPr="00C6640A">
              <w:rPr>
                <w:rFonts w:ascii="Arial" w:eastAsia="Arial" w:hAnsi="Arial" w:cs="Arial"/>
                <w:b/>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CAB8359" w14:textId="77777777" w:rsidR="003E3B00" w:rsidRPr="00C6640A" w:rsidRDefault="003E3B00" w:rsidP="007574EA">
            <w:pPr>
              <w:jc w:val="center"/>
              <w:rPr>
                <w:rFonts w:ascii="Arial" w:eastAsia="Arial" w:hAnsi="Arial" w:cs="Arial"/>
                <w:b/>
                <w:spacing w:val="-2"/>
                <w:sz w:val="26"/>
                <w:szCs w:val="26"/>
              </w:rPr>
            </w:pPr>
            <w:r w:rsidRPr="00C6640A">
              <w:rPr>
                <w:rFonts w:ascii="Arial" w:eastAsia="Arial" w:hAnsi="Arial" w:cs="Arial"/>
                <w:b/>
                <w:spacing w:val="-2"/>
                <w:sz w:val="26"/>
                <w:szCs w:val="26"/>
              </w:rPr>
              <w:t>Review date:</w:t>
            </w:r>
          </w:p>
        </w:tc>
        <w:tc>
          <w:tcPr>
            <w:tcW w:w="22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ADADB54" w14:textId="77777777" w:rsidR="003E3B00" w:rsidRPr="00C6640A" w:rsidRDefault="003E3B00" w:rsidP="007574EA">
            <w:pPr>
              <w:jc w:val="center"/>
              <w:rPr>
                <w:rFonts w:ascii="Arial" w:eastAsia="Arial" w:hAnsi="Arial" w:cs="Arial"/>
                <w:b/>
                <w:spacing w:val="-2"/>
                <w:sz w:val="26"/>
                <w:szCs w:val="26"/>
              </w:rPr>
            </w:pPr>
            <w:r w:rsidRPr="00C6640A">
              <w:rPr>
                <w:rFonts w:ascii="Arial" w:eastAsia="Arial" w:hAnsi="Arial" w:cs="Arial"/>
                <w:b/>
                <w:spacing w:val="-2"/>
                <w:sz w:val="26"/>
                <w:szCs w:val="26"/>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91D08DE" w14:textId="77777777" w:rsidR="003E3B00" w:rsidRPr="00C6640A" w:rsidRDefault="003E3B00" w:rsidP="007574EA">
            <w:pPr>
              <w:jc w:val="center"/>
              <w:rPr>
                <w:rFonts w:ascii="Arial" w:eastAsia="Arial" w:hAnsi="Arial" w:cs="Arial"/>
                <w:b/>
                <w:spacing w:val="-2"/>
                <w:sz w:val="26"/>
                <w:szCs w:val="26"/>
              </w:rPr>
            </w:pPr>
            <w:r w:rsidRPr="00C6640A">
              <w:rPr>
                <w:rFonts w:ascii="Arial" w:eastAsia="Arial" w:hAnsi="Arial" w:cs="Arial"/>
                <w:b/>
                <w:spacing w:val="-2"/>
                <w:sz w:val="26"/>
                <w:szCs w:val="26"/>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9EA2775" w14:textId="77777777" w:rsidR="003E3B00" w:rsidRPr="00C6640A" w:rsidRDefault="003E3B00" w:rsidP="007574EA">
            <w:pPr>
              <w:jc w:val="center"/>
              <w:rPr>
                <w:rFonts w:ascii="Arial" w:eastAsia="Arial" w:hAnsi="Arial" w:cs="Arial"/>
                <w:b/>
                <w:spacing w:val="-2"/>
                <w:sz w:val="26"/>
                <w:szCs w:val="26"/>
              </w:rPr>
            </w:pPr>
            <w:r w:rsidRPr="00C6640A">
              <w:rPr>
                <w:rFonts w:ascii="Arial" w:eastAsia="Arial" w:hAnsi="Arial" w:cs="Arial"/>
                <w:b/>
                <w:spacing w:val="-2"/>
                <w:sz w:val="26"/>
                <w:szCs w:val="26"/>
              </w:rPr>
              <w:t>Comments:</w:t>
            </w:r>
          </w:p>
        </w:tc>
      </w:tr>
      <w:tr w:rsidR="00B50AA2" w:rsidRPr="00C6640A" w14:paraId="78947ED2" w14:textId="77777777" w:rsidTr="00B50AA2">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46A6EDE9" w14:textId="44F66909" w:rsidR="00B50AA2" w:rsidRPr="00C6640A" w:rsidRDefault="00B50AA2" w:rsidP="00B50AA2">
            <w:pPr>
              <w:jc w:val="center"/>
              <w:rPr>
                <w:rFonts w:ascii="Arial" w:eastAsia="Arial" w:hAnsi="Arial" w:cs="Arial"/>
                <w:b/>
                <w:spacing w:val="-2"/>
                <w:sz w:val="26"/>
                <w:szCs w:val="26"/>
              </w:rPr>
            </w:pPr>
            <w:r w:rsidRPr="00BC4015">
              <w:t>v1.3</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0D01DD43" w14:textId="3C2868E5" w:rsidR="00B50AA2" w:rsidRPr="00C6640A" w:rsidRDefault="00B50AA2" w:rsidP="00B50AA2">
            <w:pPr>
              <w:rPr>
                <w:rFonts w:ascii="Arial" w:eastAsia="Arial" w:hAnsi="Arial" w:cs="Arial"/>
                <w:b/>
                <w:spacing w:val="-2"/>
                <w:sz w:val="26"/>
                <w:szCs w:val="26"/>
              </w:rPr>
            </w:pPr>
            <w:r w:rsidRPr="00BC4015">
              <w:t>12/12/2022</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1B92101C" w14:textId="754CDEDF" w:rsidR="00B50AA2" w:rsidRPr="00C6640A" w:rsidRDefault="00B50AA2" w:rsidP="00B50AA2">
            <w:pPr>
              <w:rPr>
                <w:rFonts w:ascii="Arial" w:eastAsia="Arial" w:hAnsi="Arial" w:cs="Arial"/>
                <w:b/>
                <w:spacing w:val="-2"/>
                <w:sz w:val="26"/>
                <w:szCs w:val="26"/>
              </w:rPr>
            </w:pPr>
            <w:r w:rsidRPr="00BC4015">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4D80C190" w14:textId="210F0E5E" w:rsidR="00B50AA2" w:rsidRPr="00C6640A" w:rsidRDefault="00B50AA2" w:rsidP="00B50AA2">
            <w:pPr>
              <w:rPr>
                <w:rFonts w:ascii="Arial" w:eastAsia="Arial" w:hAnsi="Arial" w:cs="Arial"/>
                <w:b/>
                <w:spacing w:val="-2"/>
                <w:sz w:val="26"/>
                <w:szCs w:val="26"/>
              </w:rPr>
            </w:pPr>
            <w:r w:rsidRPr="00BC4015">
              <w:t>Munira Mohamed</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F8E7E6A" w14:textId="76F6D414" w:rsidR="00B50AA2" w:rsidRPr="00C6640A" w:rsidRDefault="00B50AA2" w:rsidP="00B50AA2">
            <w:pPr>
              <w:rPr>
                <w:rFonts w:ascii="Arial" w:hAnsi="Arial" w:cs="Arial"/>
                <w:b/>
                <w:sz w:val="26"/>
                <w:szCs w:val="26"/>
              </w:rPr>
            </w:pPr>
          </w:p>
        </w:tc>
      </w:tr>
      <w:tr w:rsidR="00B50AA2" w:rsidRPr="00C6640A" w14:paraId="3196F340" w14:textId="77777777" w:rsidTr="00B50AA2">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73D24814" w14:textId="1BB75892" w:rsidR="00B50AA2" w:rsidRPr="00C6640A" w:rsidRDefault="00B50AA2" w:rsidP="00B50AA2">
            <w:pPr>
              <w:jc w:val="center"/>
              <w:rPr>
                <w:rFonts w:ascii="Arial" w:hAnsi="Arial" w:cs="Arial"/>
                <w:b/>
                <w:sz w:val="26"/>
                <w:szCs w:val="26"/>
              </w:rPr>
            </w:pPr>
            <w:r w:rsidRPr="00DB1553">
              <w:t>v1.</w:t>
            </w:r>
            <w:r>
              <w:t>5</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652428F7" w14:textId="770B9E7B" w:rsidR="00B50AA2" w:rsidRPr="00C6640A" w:rsidRDefault="00B50AA2" w:rsidP="00B50AA2">
            <w:pPr>
              <w:rPr>
                <w:rFonts w:ascii="Arial" w:hAnsi="Arial" w:cs="Arial"/>
                <w:b/>
                <w:sz w:val="26"/>
                <w:szCs w:val="26"/>
              </w:rPr>
            </w:pPr>
            <w:r>
              <w:t>01</w:t>
            </w:r>
            <w:r w:rsidRPr="00DB1553">
              <w:t>/1</w:t>
            </w:r>
            <w:r>
              <w:t>0</w:t>
            </w:r>
            <w:r w:rsidRPr="00DB1553">
              <w:t>/202</w:t>
            </w:r>
            <w:r>
              <w:t>4</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374475C1" w14:textId="7E19DC15" w:rsidR="00B50AA2" w:rsidRPr="00C6640A" w:rsidRDefault="00B50AA2" w:rsidP="00B50AA2">
            <w:pPr>
              <w:rPr>
                <w:rFonts w:ascii="Arial" w:hAnsi="Arial" w:cs="Arial"/>
                <w:b/>
                <w:sz w:val="26"/>
                <w:szCs w:val="26"/>
              </w:rPr>
            </w:pPr>
            <w:r w:rsidRPr="00DB1553">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586647C6" w14:textId="411D1700" w:rsidR="00B50AA2" w:rsidRPr="00C6640A" w:rsidRDefault="00B50AA2" w:rsidP="00B50AA2">
            <w:pPr>
              <w:rPr>
                <w:rFonts w:ascii="Arial" w:hAnsi="Arial" w:cs="Arial"/>
                <w:b/>
                <w:sz w:val="26"/>
                <w:szCs w:val="26"/>
              </w:rPr>
            </w:pPr>
            <w:r w:rsidRPr="00DB1553">
              <w:t>Munira Mohamed</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66DC6EE3" w14:textId="77777777" w:rsidR="00B50AA2" w:rsidRPr="00C6640A" w:rsidRDefault="00B50AA2" w:rsidP="00B50AA2">
            <w:pPr>
              <w:rPr>
                <w:rFonts w:ascii="Arial" w:hAnsi="Arial" w:cs="Arial"/>
                <w:b/>
                <w:sz w:val="26"/>
                <w:szCs w:val="26"/>
              </w:rPr>
            </w:pPr>
          </w:p>
        </w:tc>
      </w:tr>
      <w:tr w:rsidR="003E3B00" w:rsidRPr="00C6640A" w14:paraId="03538D8C" w14:textId="77777777" w:rsidTr="00B50AA2">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6FEB09A" w14:textId="77777777" w:rsidR="003E3B00" w:rsidRPr="00C6640A" w:rsidRDefault="003E3B00" w:rsidP="007574EA">
            <w:pPr>
              <w:rPr>
                <w:rFonts w:ascii="Arial" w:hAnsi="Arial" w:cs="Arial"/>
                <w:b/>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73C9A8F5" w14:textId="13666111" w:rsidR="003E3B00" w:rsidRPr="00B50AA2" w:rsidRDefault="00B50AA2" w:rsidP="007574EA">
            <w:pPr>
              <w:rPr>
                <w:bCs/>
              </w:rPr>
            </w:pPr>
            <w:r w:rsidRPr="00B50AA2">
              <w:rPr>
                <w:bCs/>
              </w:rPr>
              <w:t>October 2026</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1A63B4DE" w14:textId="77777777" w:rsidR="003E3B00" w:rsidRPr="00C6640A" w:rsidRDefault="003E3B00" w:rsidP="007574EA">
            <w:pPr>
              <w:rPr>
                <w:rFonts w:ascii="Arial" w:hAnsi="Arial" w:cs="Arial"/>
                <w:b/>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7E1E77D8" w14:textId="77777777" w:rsidR="003E3B00" w:rsidRPr="00C6640A" w:rsidRDefault="003E3B00" w:rsidP="007574EA">
            <w:pPr>
              <w:rPr>
                <w:rFonts w:ascii="Arial" w:hAnsi="Arial" w:cs="Arial"/>
                <w:b/>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71E89972" w14:textId="787BBC22" w:rsidR="003E3B00" w:rsidRPr="00C6640A" w:rsidRDefault="00B50AA2" w:rsidP="007574EA">
            <w:pPr>
              <w:rPr>
                <w:rFonts w:ascii="Arial" w:hAnsi="Arial" w:cs="Arial"/>
                <w:b/>
                <w:sz w:val="26"/>
                <w:szCs w:val="26"/>
              </w:rPr>
            </w:pPr>
            <w:r>
              <w:t>Next review</w:t>
            </w:r>
          </w:p>
        </w:tc>
      </w:tr>
      <w:tr w:rsidR="003E3B00" w:rsidRPr="00C6640A" w14:paraId="372C470D" w14:textId="77777777" w:rsidTr="00B50AA2">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3769F353" w14:textId="77777777" w:rsidR="003E3B00" w:rsidRPr="00C6640A" w:rsidRDefault="003E3B00" w:rsidP="007574EA">
            <w:pPr>
              <w:rPr>
                <w:rFonts w:ascii="Arial" w:hAnsi="Arial" w:cs="Arial"/>
                <w:b/>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76A88B39" w14:textId="77777777" w:rsidR="003E3B00" w:rsidRPr="00C6640A" w:rsidRDefault="003E3B00" w:rsidP="007574EA">
            <w:pPr>
              <w:rPr>
                <w:rFonts w:ascii="Arial" w:hAnsi="Arial" w:cs="Arial"/>
                <w:b/>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3AF1F2E8" w14:textId="77777777" w:rsidR="003E3B00" w:rsidRPr="00C6640A" w:rsidRDefault="003E3B00" w:rsidP="007574EA">
            <w:pPr>
              <w:rPr>
                <w:rFonts w:ascii="Arial" w:hAnsi="Arial" w:cs="Arial"/>
                <w:b/>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F008904" w14:textId="77777777" w:rsidR="003E3B00" w:rsidRPr="00C6640A" w:rsidRDefault="003E3B00" w:rsidP="007574EA">
            <w:pPr>
              <w:rPr>
                <w:rFonts w:ascii="Arial" w:hAnsi="Arial" w:cs="Arial"/>
                <w:b/>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02955D63" w14:textId="77777777" w:rsidR="003E3B00" w:rsidRPr="00C6640A" w:rsidRDefault="003E3B00" w:rsidP="007574EA">
            <w:pPr>
              <w:rPr>
                <w:rFonts w:ascii="Arial" w:hAnsi="Arial" w:cs="Arial"/>
                <w:b/>
                <w:sz w:val="26"/>
                <w:szCs w:val="26"/>
              </w:rPr>
            </w:pPr>
          </w:p>
        </w:tc>
      </w:tr>
    </w:tbl>
    <w:p w14:paraId="61F35874" w14:textId="77777777" w:rsidR="003E3B00" w:rsidRPr="005C256E" w:rsidRDefault="003E3B00" w:rsidP="00CD211E">
      <w:pPr>
        <w:rPr>
          <w:rFonts w:ascii="Arial" w:hAnsi="Arial" w:cs="Arial"/>
          <w:sz w:val="28"/>
          <w:szCs w:val="28"/>
        </w:rPr>
      </w:pPr>
    </w:p>
    <w:p w14:paraId="4F95480F" w14:textId="77777777" w:rsidR="003E3B00" w:rsidRPr="005C256E" w:rsidRDefault="003E3B00" w:rsidP="00CD211E">
      <w:pPr>
        <w:rPr>
          <w:rFonts w:ascii="Arial" w:hAnsi="Arial" w:cs="Arial"/>
          <w:sz w:val="28"/>
          <w:szCs w:val="28"/>
        </w:rPr>
      </w:pPr>
    </w:p>
    <w:p w14:paraId="1105029B" w14:textId="77777777" w:rsidR="00B50AA2" w:rsidRDefault="00B50AA2">
      <w:pPr>
        <w:rPr>
          <w:rFonts w:ascii="Arial" w:hAnsi="Arial" w:cs="Arial"/>
          <w:b/>
          <w:sz w:val="28"/>
          <w:szCs w:val="28"/>
        </w:rPr>
      </w:pPr>
      <w:r>
        <w:rPr>
          <w:rFonts w:ascii="Arial" w:hAnsi="Arial" w:cs="Arial"/>
          <w:b/>
          <w:sz w:val="28"/>
          <w:szCs w:val="28"/>
        </w:rPr>
        <w:br w:type="page"/>
      </w:r>
    </w:p>
    <w:p w14:paraId="6478BA75" w14:textId="2B2DA44E" w:rsidR="00CD211E" w:rsidRPr="005C256E" w:rsidRDefault="00CD211E" w:rsidP="00CD211E">
      <w:pPr>
        <w:rPr>
          <w:rFonts w:ascii="Arial" w:hAnsi="Arial" w:cs="Arial"/>
          <w:b/>
          <w:sz w:val="28"/>
          <w:szCs w:val="28"/>
        </w:rPr>
      </w:pPr>
      <w:r w:rsidRPr="005C256E">
        <w:rPr>
          <w:rFonts w:ascii="Arial" w:hAnsi="Arial" w:cs="Arial"/>
          <w:b/>
          <w:sz w:val="28"/>
          <w:szCs w:val="28"/>
        </w:rPr>
        <w:t>Table of contents</w:t>
      </w:r>
    </w:p>
    <w:p w14:paraId="52DB9087" w14:textId="7452C24C" w:rsidR="00F41714" w:rsidRPr="00F41714" w:rsidRDefault="00CD211E">
      <w:pPr>
        <w:pStyle w:val="TOC1"/>
        <w:rPr>
          <w:rFonts w:ascii="Arial" w:eastAsiaTheme="minorEastAsia" w:hAnsi="Arial" w:cs="Arial"/>
          <w:b w:val="0"/>
          <w:bCs w:val="0"/>
          <w:kern w:val="2"/>
          <w:lang w:eastAsia="en-GB"/>
          <w14:ligatures w14:val="standardContextual"/>
        </w:rPr>
      </w:pPr>
      <w:r w:rsidRPr="007979AA">
        <w:rPr>
          <w:rFonts w:ascii="Arial" w:hAnsi="Arial" w:cs="Arial"/>
          <w:noProof w:val="0"/>
          <w:sz w:val="20"/>
          <w:szCs w:val="28"/>
        </w:rPr>
        <w:fldChar w:fldCharType="begin"/>
      </w:r>
      <w:r w:rsidRPr="007979AA">
        <w:rPr>
          <w:rFonts w:ascii="Arial" w:hAnsi="Arial" w:cs="Arial"/>
          <w:noProof w:val="0"/>
          <w:sz w:val="20"/>
          <w:szCs w:val="28"/>
        </w:rPr>
        <w:instrText xml:space="preserve"> TOC \o "1-3" \h \z \u </w:instrText>
      </w:r>
      <w:r w:rsidRPr="007979AA">
        <w:rPr>
          <w:rFonts w:ascii="Arial" w:hAnsi="Arial" w:cs="Arial"/>
          <w:noProof w:val="0"/>
          <w:sz w:val="20"/>
          <w:szCs w:val="28"/>
        </w:rPr>
        <w:fldChar w:fldCharType="separate"/>
      </w:r>
      <w:hyperlink w:anchor="_Toc170919466" w:history="1">
        <w:r w:rsidR="00F41714" w:rsidRPr="00F41714">
          <w:rPr>
            <w:rStyle w:val="Hyperlink"/>
            <w:rFonts w:ascii="Arial" w:hAnsi="Arial" w:cs="Arial"/>
          </w:rPr>
          <w:t>1</w:t>
        </w:r>
        <w:r w:rsidR="00F41714" w:rsidRPr="00F41714">
          <w:rPr>
            <w:rFonts w:ascii="Arial" w:eastAsiaTheme="minorEastAsia" w:hAnsi="Arial" w:cs="Arial"/>
            <w:b w:val="0"/>
            <w:bCs w:val="0"/>
            <w:kern w:val="2"/>
            <w:lang w:eastAsia="en-GB"/>
            <w14:ligatures w14:val="standardContextual"/>
          </w:rPr>
          <w:tab/>
        </w:r>
        <w:r w:rsidR="00F41714" w:rsidRPr="00F41714">
          <w:rPr>
            <w:rStyle w:val="Hyperlink"/>
            <w:rFonts w:ascii="Arial" w:hAnsi="Arial" w:cs="Arial"/>
          </w:rPr>
          <w:t>Introduction</w:t>
        </w:r>
        <w:r w:rsidR="00F41714" w:rsidRPr="00F41714">
          <w:rPr>
            <w:rFonts w:ascii="Arial" w:hAnsi="Arial" w:cs="Arial"/>
            <w:webHidden/>
          </w:rPr>
          <w:tab/>
        </w:r>
        <w:r w:rsidR="00F41714" w:rsidRPr="00F41714">
          <w:rPr>
            <w:rFonts w:ascii="Arial" w:hAnsi="Arial" w:cs="Arial"/>
            <w:webHidden/>
          </w:rPr>
          <w:fldChar w:fldCharType="begin"/>
        </w:r>
        <w:r w:rsidR="00F41714" w:rsidRPr="00F41714">
          <w:rPr>
            <w:rFonts w:ascii="Arial" w:hAnsi="Arial" w:cs="Arial"/>
            <w:webHidden/>
          </w:rPr>
          <w:instrText xml:space="preserve"> PAGEREF _Toc170919466 \h </w:instrText>
        </w:r>
        <w:r w:rsidR="00F41714" w:rsidRPr="00F41714">
          <w:rPr>
            <w:rFonts w:ascii="Arial" w:hAnsi="Arial" w:cs="Arial"/>
            <w:webHidden/>
          </w:rPr>
        </w:r>
        <w:r w:rsidR="00F41714" w:rsidRPr="00F41714">
          <w:rPr>
            <w:rFonts w:ascii="Arial" w:hAnsi="Arial" w:cs="Arial"/>
            <w:webHidden/>
          </w:rPr>
          <w:fldChar w:fldCharType="separate"/>
        </w:r>
        <w:r w:rsidR="00D44012">
          <w:rPr>
            <w:rFonts w:ascii="Arial" w:hAnsi="Arial" w:cs="Arial"/>
            <w:webHidden/>
          </w:rPr>
          <w:t>2</w:t>
        </w:r>
        <w:r w:rsidR="00F41714" w:rsidRPr="00F41714">
          <w:rPr>
            <w:rFonts w:ascii="Arial" w:hAnsi="Arial" w:cs="Arial"/>
            <w:webHidden/>
          </w:rPr>
          <w:fldChar w:fldCharType="end"/>
        </w:r>
      </w:hyperlink>
    </w:p>
    <w:p w14:paraId="4C44676E" w14:textId="3C7F2CD1" w:rsidR="00F41714" w:rsidRPr="00F41714" w:rsidRDefault="00F41714">
      <w:pPr>
        <w:pStyle w:val="TOC2"/>
        <w:rPr>
          <w:rFonts w:ascii="Arial" w:eastAsiaTheme="minorEastAsia" w:hAnsi="Arial" w:cs="Arial"/>
          <w:b w:val="0"/>
          <w:bCs w:val="0"/>
          <w:noProof/>
          <w:kern w:val="2"/>
          <w:sz w:val="24"/>
          <w:szCs w:val="24"/>
          <w14:ligatures w14:val="standardContextual"/>
        </w:rPr>
      </w:pPr>
      <w:hyperlink w:anchor="_Toc170919467" w:history="1">
        <w:r w:rsidRPr="00F41714">
          <w:rPr>
            <w:rStyle w:val="Hyperlink"/>
            <w:rFonts w:ascii="Arial" w:hAnsi="Arial" w:cs="Arial"/>
            <w:noProof/>
          </w:rPr>
          <w:t>1.1</w:t>
        </w:r>
        <w:r w:rsidRPr="00F41714">
          <w:rPr>
            <w:rFonts w:ascii="Arial" w:eastAsiaTheme="minorEastAsia" w:hAnsi="Arial" w:cs="Arial"/>
            <w:b w:val="0"/>
            <w:bCs w:val="0"/>
            <w:noProof/>
            <w:kern w:val="2"/>
            <w:sz w:val="24"/>
            <w:szCs w:val="24"/>
            <w14:ligatures w14:val="standardContextual"/>
          </w:rPr>
          <w:tab/>
        </w:r>
        <w:r w:rsidRPr="00F41714">
          <w:rPr>
            <w:rStyle w:val="Hyperlink"/>
            <w:rFonts w:ascii="Arial" w:hAnsi="Arial" w:cs="Arial"/>
            <w:noProof/>
          </w:rPr>
          <w:t>Policy statement</w:t>
        </w:r>
        <w:r w:rsidRPr="00F41714">
          <w:rPr>
            <w:rFonts w:ascii="Arial" w:hAnsi="Arial" w:cs="Arial"/>
            <w:noProof/>
            <w:webHidden/>
          </w:rPr>
          <w:tab/>
        </w:r>
        <w:r w:rsidRPr="00F41714">
          <w:rPr>
            <w:rFonts w:ascii="Arial" w:hAnsi="Arial" w:cs="Arial"/>
            <w:noProof/>
            <w:webHidden/>
          </w:rPr>
          <w:fldChar w:fldCharType="begin"/>
        </w:r>
        <w:r w:rsidRPr="00F41714">
          <w:rPr>
            <w:rFonts w:ascii="Arial" w:hAnsi="Arial" w:cs="Arial"/>
            <w:noProof/>
            <w:webHidden/>
          </w:rPr>
          <w:instrText xml:space="preserve"> PAGEREF _Toc170919467 \h </w:instrText>
        </w:r>
        <w:r w:rsidRPr="00F41714">
          <w:rPr>
            <w:rFonts w:ascii="Arial" w:hAnsi="Arial" w:cs="Arial"/>
            <w:noProof/>
            <w:webHidden/>
          </w:rPr>
        </w:r>
        <w:r w:rsidRPr="00F41714">
          <w:rPr>
            <w:rFonts w:ascii="Arial" w:hAnsi="Arial" w:cs="Arial"/>
            <w:noProof/>
            <w:webHidden/>
          </w:rPr>
          <w:fldChar w:fldCharType="separate"/>
        </w:r>
        <w:r w:rsidR="00D44012">
          <w:rPr>
            <w:rFonts w:ascii="Arial" w:hAnsi="Arial" w:cs="Arial"/>
            <w:noProof/>
            <w:webHidden/>
          </w:rPr>
          <w:t>2</w:t>
        </w:r>
        <w:r w:rsidRPr="00F41714">
          <w:rPr>
            <w:rFonts w:ascii="Arial" w:hAnsi="Arial" w:cs="Arial"/>
            <w:noProof/>
            <w:webHidden/>
          </w:rPr>
          <w:fldChar w:fldCharType="end"/>
        </w:r>
      </w:hyperlink>
    </w:p>
    <w:p w14:paraId="7740BF60" w14:textId="43113AEC" w:rsidR="00F41714" w:rsidRPr="00F41714" w:rsidRDefault="00F41714">
      <w:pPr>
        <w:pStyle w:val="TOC2"/>
        <w:rPr>
          <w:rFonts w:ascii="Arial" w:eastAsiaTheme="minorEastAsia" w:hAnsi="Arial" w:cs="Arial"/>
          <w:b w:val="0"/>
          <w:bCs w:val="0"/>
          <w:noProof/>
          <w:kern w:val="2"/>
          <w:sz w:val="24"/>
          <w:szCs w:val="24"/>
          <w14:ligatures w14:val="standardContextual"/>
        </w:rPr>
      </w:pPr>
      <w:hyperlink w:anchor="_Toc170919468" w:history="1">
        <w:r w:rsidRPr="00F41714">
          <w:rPr>
            <w:rStyle w:val="Hyperlink"/>
            <w:rFonts w:ascii="Arial" w:hAnsi="Arial" w:cs="Arial"/>
            <w:noProof/>
          </w:rPr>
          <w:t>1.2</w:t>
        </w:r>
        <w:r w:rsidRPr="00F41714">
          <w:rPr>
            <w:rFonts w:ascii="Arial" w:eastAsiaTheme="minorEastAsia" w:hAnsi="Arial" w:cs="Arial"/>
            <w:b w:val="0"/>
            <w:bCs w:val="0"/>
            <w:noProof/>
            <w:kern w:val="2"/>
            <w:sz w:val="24"/>
            <w:szCs w:val="24"/>
            <w14:ligatures w14:val="standardContextual"/>
          </w:rPr>
          <w:tab/>
        </w:r>
        <w:r w:rsidRPr="00F41714">
          <w:rPr>
            <w:rStyle w:val="Hyperlink"/>
            <w:rFonts w:ascii="Arial" w:hAnsi="Arial" w:cs="Arial"/>
            <w:noProof/>
          </w:rPr>
          <w:t>Status</w:t>
        </w:r>
        <w:r w:rsidRPr="00F41714">
          <w:rPr>
            <w:rFonts w:ascii="Arial" w:hAnsi="Arial" w:cs="Arial"/>
            <w:noProof/>
            <w:webHidden/>
          </w:rPr>
          <w:tab/>
        </w:r>
        <w:r w:rsidRPr="00F41714">
          <w:rPr>
            <w:rFonts w:ascii="Arial" w:hAnsi="Arial" w:cs="Arial"/>
            <w:noProof/>
            <w:webHidden/>
          </w:rPr>
          <w:fldChar w:fldCharType="begin"/>
        </w:r>
        <w:r w:rsidRPr="00F41714">
          <w:rPr>
            <w:rFonts w:ascii="Arial" w:hAnsi="Arial" w:cs="Arial"/>
            <w:noProof/>
            <w:webHidden/>
          </w:rPr>
          <w:instrText xml:space="preserve"> PAGEREF _Toc170919468 \h </w:instrText>
        </w:r>
        <w:r w:rsidRPr="00F41714">
          <w:rPr>
            <w:rFonts w:ascii="Arial" w:hAnsi="Arial" w:cs="Arial"/>
            <w:noProof/>
            <w:webHidden/>
          </w:rPr>
        </w:r>
        <w:r w:rsidRPr="00F41714">
          <w:rPr>
            <w:rFonts w:ascii="Arial" w:hAnsi="Arial" w:cs="Arial"/>
            <w:noProof/>
            <w:webHidden/>
          </w:rPr>
          <w:fldChar w:fldCharType="separate"/>
        </w:r>
        <w:r w:rsidR="00D44012">
          <w:rPr>
            <w:rFonts w:ascii="Arial" w:hAnsi="Arial" w:cs="Arial"/>
            <w:noProof/>
            <w:webHidden/>
          </w:rPr>
          <w:t>2</w:t>
        </w:r>
        <w:r w:rsidRPr="00F41714">
          <w:rPr>
            <w:rFonts w:ascii="Arial" w:hAnsi="Arial" w:cs="Arial"/>
            <w:noProof/>
            <w:webHidden/>
          </w:rPr>
          <w:fldChar w:fldCharType="end"/>
        </w:r>
      </w:hyperlink>
    </w:p>
    <w:p w14:paraId="09FAAC9B" w14:textId="6B2A8106" w:rsidR="00F41714" w:rsidRPr="00F41714" w:rsidRDefault="00F41714">
      <w:pPr>
        <w:pStyle w:val="TOC1"/>
        <w:rPr>
          <w:rFonts w:ascii="Arial" w:eastAsiaTheme="minorEastAsia" w:hAnsi="Arial" w:cs="Arial"/>
          <w:b w:val="0"/>
          <w:bCs w:val="0"/>
          <w:kern w:val="2"/>
          <w:lang w:eastAsia="en-GB"/>
          <w14:ligatures w14:val="standardContextual"/>
        </w:rPr>
      </w:pPr>
      <w:hyperlink w:anchor="_Toc170919469" w:history="1">
        <w:r w:rsidRPr="00F41714">
          <w:rPr>
            <w:rStyle w:val="Hyperlink"/>
            <w:rFonts w:ascii="Arial" w:hAnsi="Arial" w:cs="Arial"/>
          </w:rPr>
          <w:t>2</w:t>
        </w:r>
        <w:r w:rsidRPr="00F41714">
          <w:rPr>
            <w:rFonts w:ascii="Arial" w:eastAsiaTheme="minorEastAsia" w:hAnsi="Arial" w:cs="Arial"/>
            <w:b w:val="0"/>
            <w:bCs w:val="0"/>
            <w:kern w:val="2"/>
            <w:lang w:eastAsia="en-GB"/>
            <w14:ligatures w14:val="standardContextual"/>
          </w:rPr>
          <w:tab/>
        </w:r>
        <w:r w:rsidRPr="00F41714">
          <w:rPr>
            <w:rStyle w:val="Hyperlink"/>
            <w:rFonts w:ascii="Arial" w:hAnsi="Arial" w:cs="Arial"/>
          </w:rPr>
          <w:t>Assessment</w:t>
        </w:r>
        <w:r w:rsidRPr="00F41714">
          <w:rPr>
            <w:rFonts w:ascii="Arial" w:hAnsi="Arial" w:cs="Arial"/>
            <w:webHidden/>
          </w:rPr>
          <w:tab/>
        </w:r>
        <w:r w:rsidRPr="00F41714">
          <w:rPr>
            <w:rFonts w:ascii="Arial" w:hAnsi="Arial" w:cs="Arial"/>
            <w:webHidden/>
          </w:rPr>
          <w:fldChar w:fldCharType="begin"/>
        </w:r>
        <w:r w:rsidRPr="00F41714">
          <w:rPr>
            <w:rFonts w:ascii="Arial" w:hAnsi="Arial" w:cs="Arial"/>
            <w:webHidden/>
          </w:rPr>
          <w:instrText xml:space="preserve"> PAGEREF _Toc170919469 \h </w:instrText>
        </w:r>
        <w:r w:rsidRPr="00F41714">
          <w:rPr>
            <w:rFonts w:ascii="Arial" w:hAnsi="Arial" w:cs="Arial"/>
            <w:webHidden/>
          </w:rPr>
        </w:r>
        <w:r w:rsidRPr="00F41714">
          <w:rPr>
            <w:rFonts w:ascii="Arial" w:hAnsi="Arial" w:cs="Arial"/>
            <w:webHidden/>
          </w:rPr>
          <w:fldChar w:fldCharType="separate"/>
        </w:r>
        <w:r w:rsidR="00D44012">
          <w:rPr>
            <w:rFonts w:ascii="Arial" w:hAnsi="Arial" w:cs="Arial"/>
            <w:webHidden/>
          </w:rPr>
          <w:t>2</w:t>
        </w:r>
        <w:r w:rsidRPr="00F41714">
          <w:rPr>
            <w:rFonts w:ascii="Arial" w:hAnsi="Arial" w:cs="Arial"/>
            <w:webHidden/>
          </w:rPr>
          <w:fldChar w:fldCharType="end"/>
        </w:r>
      </w:hyperlink>
    </w:p>
    <w:p w14:paraId="70BC6AFB" w14:textId="268E5D4E" w:rsidR="00F41714" w:rsidRPr="00F41714" w:rsidRDefault="00F41714">
      <w:pPr>
        <w:pStyle w:val="TOC2"/>
        <w:rPr>
          <w:rFonts w:ascii="Arial" w:eastAsiaTheme="minorEastAsia" w:hAnsi="Arial" w:cs="Arial"/>
          <w:b w:val="0"/>
          <w:bCs w:val="0"/>
          <w:noProof/>
          <w:kern w:val="2"/>
          <w:sz w:val="24"/>
          <w:szCs w:val="24"/>
          <w14:ligatures w14:val="standardContextual"/>
        </w:rPr>
      </w:pPr>
      <w:hyperlink w:anchor="_Toc170919470" w:history="1">
        <w:r w:rsidRPr="00F41714">
          <w:rPr>
            <w:rStyle w:val="Hyperlink"/>
            <w:rFonts w:ascii="Arial" w:hAnsi="Arial" w:cs="Arial"/>
            <w:noProof/>
          </w:rPr>
          <w:t>2.1</w:t>
        </w:r>
        <w:r w:rsidRPr="00F41714">
          <w:rPr>
            <w:rFonts w:ascii="Arial" w:eastAsiaTheme="minorEastAsia" w:hAnsi="Arial" w:cs="Arial"/>
            <w:b w:val="0"/>
            <w:bCs w:val="0"/>
            <w:noProof/>
            <w:kern w:val="2"/>
            <w:sz w:val="24"/>
            <w:szCs w:val="24"/>
            <w14:ligatures w14:val="standardContextual"/>
          </w:rPr>
          <w:tab/>
        </w:r>
        <w:r w:rsidRPr="00F41714">
          <w:rPr>
            <w:rStyle w:val="Hyperlink"/>
            <w:rFonts w:ascii="Arial" w:hAnsi="Arial" w:cs="Arial"/>
            <w:noProof/>
          </w:rPr>
          <w:t>Overview</w:t>
        </w:r>
        <w:r w:rsidRPr="00F41714">
          <w:rPr>
            <w:rFonts w:ascii="Arial" w:hAnsi="Arial" w:cs="Arial"/>
            <w:noProof/>
            <w:webHidden/>
          </w:rPr>
          <w:tab/>
        </w:r>
        <w:r w:rsidRPr="00F41714">
          <w:rPr>
            <w:rFonts w:ascii="Arial" w:hAnsi="Arial" w:cs="Arial"/>
            <w:noProof/>
            <w:webHidden/>
          </w:rPr>
          <w:fldChar w:fldCharType="begin"/>
        </w:r>
        <w:r w:rsidRPr="00F41714">
          <w:rPr>
            <w:rFonts w:ascii="Arial" w:hAnsi="Arial" w:cs="Arial"/>
            <w:noProof/>
            <w:webHidden/>
          </w:rPr>
          <w:instrText xml:space="preserve"> PAGEREF _Toc170919470 \h </w:instrText>
        </w:r>
        <w:r w:rsidRPr="00F41714">
          <w:rPr>
            <w:rFonts w:ascii="Arial" w:hAnsi="Arial" w:cs="Arial"/>
            <w:noProof/>
            <w:webHidden/>
          </w:rPr>
        </w:r>
        <w:r w:rsidRPr="00F41714">
          <w:rPr>
            <w:rFonts w:ascii="Arial" w:hAnsi="Arial" w:cs="Arial"/>
            <w:noProof/>
            <w:webHidden/>
          </w:rPr>
          <w:fldChar w:fldCharType="separate"/>
        </w:r>
        <w:r w:rsidR="00D44012">
          <w:rPr>
            <w:rFonts w:ascii="Arial" w:hAnsi="Arial" w:cs="Arial"/>
            <w:noProof/>
            <w:webHidden/>
          </w:rPr>
          <w:t>2</w:t>
        </w:r>
        <w:r w:rsidRPr="00F41714">
          <w:rPr>
            <w:rFonts w:ascii="Arial" w:hAnsi="Arial" w:cs="Arial"/>
            <w:noProof/>
            <w:webHidden/>
          </w:rPr>
          <w:fldChar w:fldCharType="end"/>
        </w:r>
      </w:hyperlink>
    </w:p>
    <w:p w14:paraId="076113A0" w14:textId="72C4784B" w:rsidR="00F41714" w:rsidRPr="00F41714" w:rsidRDefault="00F41714">
      <w:pPr>
        <w:pStyle w:val="TOC2"/>
        <w:rPr>
          <w:rFonts w:ascii="Arial" w:eastAsiaTheme="minorEastAsia" w:hAnsi="Arial" w:cs="Arial"/>
          <w:b w:val="0"/>
          <w:bCs w:val="0"/>
          <w:noProof/>
          <w:kern w:val="2"/>
          <w:sz w:val="24"/>
          <w:szCs w:val="24"/>
          <w14:ligatures w14:val="standardContextual"/>
        </w:rPr>
      </w:pPr>
      <w:hyperlink w:anchor="_Toc170919471" w:history="1">
        <w:r w:rsidRPr="00F41714">
          <w:rPr>
            <w:rStyle w:val="Hyperlink"/>
            <w:rFonts w:ascii="Arial" w:hAnsi="Arial" w:cs="Arial"/>
            <w:noProof/>
          </w:rPr>
          <w:t>2.2</w:t>
        </w:r>
        <w:r w:rsidRPr="00F41714">
          <w:rPr>
            <w:rFonts w:ascii="Arial" w:eastAsiaTheme="minorEastAsia" w:hAnsi="Arial" w:cs="Arial"/>
            <w:b w:val="0"/>
            <w:bCs w:val="0"/>
            <w:noProof/>
            <w:kern w:val="2"/>
            <w:sz w:val="24"/>
            <w:szCs w:val="24"/>
            <w14:ligatures w14:val="standardContextual"/>
          </w:rPr>
          <w:tab/>
        </w:r>
        <w:r w:rsidRPr="00F41714">
          <w:rPr>
            <w:rStyle w:val="Hyperlink"/>
            <w:rFonts w:ascii="Arial" w:hAnsi="Arial" w:cs="Arial"/>
            <w:noProof/>
          </w:rPr>
          <w:t>Principles</w:t>
        </w:r>
        <w:r w:rsidRPr="00F41714">
          <w:rPr>
            <w:rFonts w:ascii="Arial" w:hAnsi="Arial" w:cs="Arial"/>
            <w:noProof/>
            <w:webHidden/>
          </w:rPr>
          <w:tab/>
        </w:r>
        <w:r w:rsidRPr="00F41714">
          <w:rPr>
            <w:rFonts w:ascii="Arial" w:hAnsi="Arial" w:cs="Arial"/>
            <w:noProof/>
            <w:webHidden/>
          </w:rPr>
          <w:fldChar w:fldCharType="begin"/>
        </w:r>
        <w:r w:rsidRPr="00F41714">
          <w:rPr>
            <w:rFonts w:ascii="Arial" w:hAnsi="Arial" w:cs="Arial"/>
            <w:noProof/>
            <w:webHidden/>
          </w:rPr>
          <w:instrText xml:space="preserve"> PAGEREF _Toc170919471 \h </w:instrText>
        </w:r>
        <w:r w:rsidRPr="00F41714">
          <w:rPr>
            <w:rFonts w:ascii="Arial" w:hAnsi="Arial" w:cs="Arial"/>
            <w:noProof/>
            <w:webHidden/>
          </w:rPr>
        </w:r>
        <w:r w:rsidRPr="00F41714">
          <w:rPr>
            <w:rFonts w:ascii="Arial" w:hAnsi="Arial" w:cs="Arial"/>
            <w:noProof/>
            <w:webHidden/>
          </w:rPr>
          <w:fldChar w:fldCharType="separate"/>
        </w:r>
        <w:r w:rsidR="00D44012">
          <w:rPr>
            <w:rFonts w:ascii="Arial" w:hAnsi="Arial" w:cs="Arial"/>
            <w:noProof/>
            <w:webHidden/>
          </w:rPr>
          <w:t>3</w:t>
        </w:r>
        <w:r w:rsidRPr="00F41714">
          <w:rPr>
            <w:rFonts w:ascii="Arial" w:hAnsi="Arial" w:cs="Arial"/>
            <w:noProof/>
            <w:webHidden/>
          </w:rPr>
          <w:fldChar w:fldCharType="end"/>
        </w:r>
      </w:hyperlink>
    </w:p>
    <w:p w14:paraId="323A9F18" w14:textId="23106A68" w:rsidR="00F41714" w:rsidRPr="00F41714" w:rsidRDefault="00F41714">
      <w:pPr>
        <w:pStyle w:val="TOC2"/>
        <w:rPr>
          <w:rFonts w:ascii="Arial" w:eastAsiaTheme="minorEastAsia" w:hAnsi="Arial" w:cs="Arial"/>
          <w:b w:val="0"/>
          <w:bCs w:val="0"/>
          <w:noProof/>
          <w:kern w:val="2"/>
          <w:sz w:val="24"/>
          <w:szCs w:val="24"/>
          <w14:ligatures w14:val="standardContextual"/>
        </w:rPr>
      </w:pPr>
      <w:hyperlink w:anchor="_Toc170919472" w:history="1">
        <w:r w:rsidRPr="00F41714">
          <w:rPr>
            <w:rStyle w:val="Hyperlink"/>
            <w:rFonts w:ascii="Arial" w:hAnsi="Arial" w:cs="Arial"/>
            <w:noProof/>
          </w:rPr>
          <w:t>2.3</w:t>
        </w:r>
        <w:r w:rsidRPr="00F41714">
          <w:rPr>
            <w:rFonts w:ascii="Arial" w:eastAsiaTheme="minorEastAsia" w:hAnsi="Arial" w:cs="Arial"/>
            <w:b w:val="0"/>
            <w:bCs w:val="0"/>
            <w:noProof/>
            <w:kern w:val="2"/>
            <w:sz w:val="24"/>
            <w:szCs w:val="24"/>
            <w14:ligatures w14:val="standardContextual"/>
          </w:rPr>
          <w:tab/>
        </w:r>
        <w:r w:rsidRPr="00F41714">
          <w:rPr>
            <w:rStyle w:val="Hyperlink"/>
            <w:rFonts w:ascii="Arial" w:hAnsi="Arial" w:cs="Arial"/>
            <w:noProof/>
          </w:rPr>
          <w:t>Best interests</w:t>
        </w:r>
        <w:r w:rsidRPr="00F41714">
          <w:rPr>
            <w:rFonts w:ascii="Arial" w:hAnsi="Arial" w:cs="Arial"/>
            <w:noProof/>
            <w:webHidden/>
          </w:rPr>
          <w:tab/>
        </w:r>
        <w:r w:rsidRPr="00F41714">
          <w:rPr>
            <w:rFonts w:ascii="Arial" w:hAnsi="Arial" w:cs="Arial"/>
            <w:noProof/>
            <w:webHidden/>
          </w:rPr>
          <w:fldChar w:fldCharType="begin"/>
        </w:r>
        <w:r w:rsidRPr="00F41714">
          <w:rPr>
            <w:rFonts w:ascii="Arial" w:hAnsi="Arial" w:cs="Arial"/>
            <w:noProof/>
            <w:webHidden/>
          </w:rPr>
          <w:instrText xml:space="preserve"> PAGEREF _Toc170919472 \h </w:instrText>
        </w:r>
        <w:r w:rsidRPr="00F41714">
          <w:rPr>
            <w:rFonts w:ascii="Arial" w:hAnsi="Arial" w:cs="Arial"/>
            <w:noProof/>
            <w:webHidden/>
          </w:rPr>
        </w:r>
        <w:r w:rsidRPr="00F41714">
          <w:rPr>
            <w:rFonts w:ascii="Arial" w:hAnsi="Arial" w:cs="Arial"/>
            <w:noProof/>
            <w:webHidden/>
          </w:rPr>
          <w:fldChar w:fldCharType="separate"/>
        </w:r>
        <w:r w:rsidR="00D44012">
          <w:rPr>
            <w:rFonts w:ascii="Arial" w:hAnsi="Arial" w:cs="Arial"/>
            <w:noProof/>
            <w:webHidden/>
          </w:rPr>
          <w:t>3</w:t>
        </w:r>
        <w:r w:rsidRPr="00F41714">
          <w:rPr>
            <w:rFonts w:ascii="Arial" w:hAnsi="Arial" w:cs="Arial"/>
            <w:noProof/>
            <w:webHidden/>
          </w:rPr>
          <w:fldChar w:fldCharType="end"/>
        </w:r>
      </w:hyperlink>
    </w:p>
    <w:p w14:paraId="0DF61784" w14:textId="49239DA0" w:rsidR="00F41714" w:rsidRPr="00F41714" w:rsidRDefault="00F41714">
      <w:pPr>
        <w:pStyle w:val="TOC2"/>
        <w:rPr>
          <w:rFonts w:ascii="Arial" w:eastAsiaTheme="minorEastAsia" w:hAnsi="Arial" w:cs="Arial"/>
          <w:b w:val="0"/>
          <w:bCs w:val="0"/>
          <w:noProof/>
          <w:kern w:val="2"/>
          <w:sz w:val="24"/>
          <w:szCs w:val="24"/>
          <w14:ligatures w14:val="standardContextual"/>
        </w:rPr>
      </w:pPr>
      <w:hyperlink w:anchor="_Toc170919473" w:history="1">
        <w:r w:rsidRPr="00F41714">
          <w:rPr>
            <w:rStyle w:val="Hyperlink"/>
            <w:rFonts w:ascii="Arial" w:hAnsi="Arial" w:cs="Arial"/>
            <w:noProof/>
          </w:rPr>
          <w:t>2.4</w:t>
        </w:r>
        <w:r w:rsidRPr="00F41714">
          <w:rPr>
            <w:rFonts w:ascii="Arial" w:eastAsiaTheme="minorEastAsia" w:hAnsi="Arial" w:cs="Arial"/>
            <w:b w:val="0"/>
            <w:bCs w:val="0"/>
            <w:noProof/>
            <w:kern w:val="2"/>
            <w:sz w:val="24"/>
            <w:szCs w:val="24"/>
            <w14:ligatures w14:val="standardContextual"/>
          </w:rPr>
          <w:tab/>
        </w:r>
        <w:r w:rsidRPr="00F41714">
          <w:rPr>
            <w:rStyle w:val="Hyperlink"/>
            <w:rFonts w:ascii="Arial" w:hAnsi="Arial" w:cs="Arial"/>
            <w:noProof/>
          </w:rPr>
          <w:t>Deprivation of Liberty Safeguards</w:t>
        </w:r>
        <w:r w:rsidRPr="00F41714">
          <w:rPr>
            <w:rFonts w:ascii="Arial" w:hAnsi="Arial" w:cs="Arial"/>
            <w:noProof/>
            <w:webHidden/>
          </w:rPr>
          <w:tab/>
        </w:r>
        <w:r w:rsidRPr="00F41714">
          <w:rPr>
            <w:rFonts w:ascii="Arial" w:hAnsi="Arial" w:cs="Arial"/>
            <w:noProof/>
            <w:webHidden/>
          </w:rPr>
          <w:fldChar w:fldCharType="begin"/>
        </w:r>
        <w:r w:rsidRPr="00F41714">
          <w:rPr>
            <w:rFonts w:ascii="Arial" w:hAnsi="Arial" w:cs="Arial"/>
            <w:noProof/>
            <w:webHidden/>
          </w:rPr>
          <w:instrText xml:space="preserve"> PAGEREF _Toc170919473 \h </w:instrText>
        </w:r>
        <w:r w:rsidRPr="00F41714">
          <w:rPr>
            <w:rFonts w:ascii="Arial" w:hAnsi="Arial" w:cs="Arial"/>
            <w:noProof/>
            <w:webHidden/>
          </w:rPr>
        </w:r>
        <w:r w:rsidRPr="00F41714">
          <w:rPr>
            <w:rFonts w:ascii="Arial" w:hAnsi="Arial" w:cs="Arial"/>
            <w:noProof/>
            <w:webHidden/>
          </w:rPr>
          <w:fldChar w:fldCharType="separate"/>
        </w:r>
        <w:r w:rsidR="00D44012">
          <w:rPr>
            <w:rFonts w:ascii="Arial" w:hAnsi="Arial" w:cs="Arial"/>
            <w:noProof/>
            <w:webHidden/>
          </w:rPr>
          <w:t>3</w:t>
        </w:r>
        <w:r w:rsidRPr="00F41714">
          <w:rPr>
            <w:rFonts w:ascii="Arial" w:hAnsi="Arial" w:cs="Arial"/>
            <w:noProof/>
            <w:webHidden/>
          </w:rPr>
          <w:fldChar w:fldCharType="end"/>
        </w:r>
      </w:hyperlink>
    </w:p>
    <w:p w14:paraId="34F0D47B" w14:textId="63C87887" w:rsidR="00F41714" w:rsidRPr="00F41714" w:rsidRDefault="00F41714">
      <w:pPr>
        <w:pStyle w:val="TOC2"/>
        <w:rPr>
          <w:rFonts w:ascii="Arial" w:eastAsiaTheme="minorEastAsia" w:hAnsi="Arial" w:cs="Arial"/>
          <w:b w:val="0"/>
          <w:bCs w:val="0"/>
          <w:noProof/>
          <w:kern w:val="2"/>
          <w:sz w:val="24"/>
          <w:szCs w:val="24"/>
          <w14:ligatures w14:val="standardContextual"/>
        </w:rPr>
      </w:pPr>
      <w:hyperlink w:anchor="_Toc170919474" w:history="1">
        <w:r w:rsidRPr="00F41714">
          <w:rPr>
            <w:rStyle w:val="Hyperlink"/>
            <w:rFonts w:ascii="Arial" w:hAnsi="Arial" w:cs="Arial"/>
            <w:noProof/>
          </w:rPr>
          <w:t>2.5</w:t>
        </w:r>
        <w:r w:rsidRPr="00F41714">
          <w:rPr>
            <w:rFonts w:ascii="Arial" w:eastAsiaTheme="minorEastAsia" w:hAnsi="Arial" w:cs="Arial"/>
            <w:b w:val="0"/>
            <w:bCs w:val="0"/>
            <w:noProof/>
            <w:kern w:val="2"/>
            <w:sz w:val="24"/>
            <w:szCs w:val="24"/>
            <w14:ligatures w14:val="standardContextual"/>
          </w:rPr>
          <w:tab/>
        </w:r>
        <w:r w:rsidRPr="00F41714">
          <w:rPr>
            <w:rStyle w:val="Hyperlink"/>
            <w:rFonts w:ascii="Arial" w:hAnsi="Arial" w:cs="Arial"/>
            <w:noProof/>
          </w:rPr>
          <w:t>Assessing capacity</w:t>
        </w:r>
        <w:r w:rsidRPr="00F41714">
          <w:rPr>
            <w:rFonts w:ascii="Arial" w:hAnsi="Arial" w:cs="Arial"/>
            <w:noProof/>
            <w:webHidden/>
          </w:rPr>
          <w:tab/>
        </w:r>
        <w:r w:rsidRPr="00F41714">
          <w:rPr>
            <w:rFonts w:ascii="Arial" w:hAnsi="Arial" w:cs="Arial"/>
            <w:noProof/>
            <w:webHidden/>
          </w:rPr>
          <w:fldChar w:fldCharType="begin"/>
        </w:r>
        <w:r w:rsidRPr="00F41714">
          <w:rPr>
            <w:rFonts w:ascii="Arial" w:hAnsi="Arial" w:cs="Arial"/>
            <w:noProof/>
            <w:webHidden/>
          </w:rPr>
          <w:instrText xml:space="preserve"> PAGEREF _Toc170919474 \h </w:instrText>
        </w:r>
        <w:r w:rsidRPr="00F41714">
          <w:rPr>
            <w:rFonts w:ascii="Arial" w:hAnsi="Arial" w:cs="Arial"/>
            <w:noProof/>
            <w:webHidden/>
          </w:rPr>
        </w:r>
        <w:r w:rsidRPr="00F41714">
          <w:rPr>
            <w:rFonts w:ascii="Arial" w:hAnsi="Arial" w:cs="Arial"/>
            <w:noProof/>
            <w:webHidden/>
          </w:rPr>
          <w:fldChar w:fldCharType="separate"/>
        </w:r>
        <w:r w:rsidR="00D44012">
          <w:rPr>
            <w:rFonts w:ascii="Arial" w:hAnsi="Arial" w:cs="Arial"/>
            <w:noProof/>
            <w:webHidden/>
          </w:rPr>
          <w:t>3</w:t>
        </w:r>
        <w:r w:rsidRPr="00F41714">
          <w:rPr>
            <w:rFonts w:ascii="Arial" w:hAnsi="Arial" w:cs="Arial"/>
            <w:noProof/>
            <w:webHidden/>
          </w:rPr>
          <w:fldChar w:fldCharType="end"/>
        </w:r>
      </w:hyperlink>
    </w:p>
    <w:p w14:paraId="16144F00" w14:textId="6CEDC3BD" w:rsidR="00F41714" w:rsidRPr="00F41714" w:rsidRDefault="00F41714">
      <w:pPr>
        <w:pStyle w:val="TOC2"/>
        <w:rPr>
          <w:rFonts w:ascii="Arial" w:eastAsiaTheme="minorEastAsia" w:hAnsi="Arial" w:cs="Arial"/>
          <w:b w:val="0"/>
          <w:bCs w:val="0"/>
          <w:noProof/>
          <w:kern w:val="2"/>
          <w:sz w:val="24"/>
          <w:szCs w:val="24"/>
          <w14:ligatures w14:val="standardContextual"/>
        </w:rPr>
      </w:pPr>
      <w:hyperlink w:anchor="_Toc170919475" w:history="1">
        <w:r w:rsidRPr="00F41714">
          <w:rPr>
            <w:rStyle w:val="Hyperlink"/>
            <w:rFonts w:ascii="Arial" w:hAnsi="Arial" w:cs="Arial"/>
            <w:noProof/>
          </w:rPr>
          <w:t>2.6</w:t>
        </w:r>
        <w:r w:rsidRPr="00F41714">
          <w:rPr>
            <w:rFonts w:ascii="Arial" w:eastAsiaTheme="minorEastAsia" w:hAnsi="Arial" w:cs="Arial"/>
            <w:b w:val="0"/>
            <w:bCs w:val="0"/>
            <w:noProof/>
            <w:kern w:val="2"/>
            <w:sz w:val="24"/>
            <w:szCs w:val="24"/>
            <w14:ligatures w14:val="standardContextual"/>
          </w:rPr>
          <w:tab/>
        </w:r>
        <w:r w:rsidRPr="00F41714">
          <w:rPr>
            <w:rStyle w:val="Hyperlink"/>
            <w:rFonts w:ascii="Arial" w:hAnsi="Arial" w:cs="Arial"/>
            <w:noProof/>
          </w:rPr>
          <w:t>Fluctuating capacity</w:t>
        </w:r>
        <w:r w:rsidRPr="00F41714">
          <w:rPr>
            <w:rFonts w:ascii="Arial" w:hAnsi="Arial" w:cs="Arial"/>
            <w:noProof/>
            <w:webHidden/>
          </w:rPr>
          <w:tab/>
        </w:r>
        <w:r w:rsidRPr="00F41714">
          <w:rPr>
            <w:rFonts w:ascii="Arial" w:hAnsi="Arial" w:cs="Arial"/>
            <w:noProof/>
            <w:webHidden/>
          </w:rPr>
          <w:fldChar w:fldCharType="begin"/>
        </w:r>
        <w:r w:rsidRPr="00F41714">
          <w:rPr>
            <w:rFonts w:ascii="Arial" w:hAnsi="Arial" w:cs="Arial"/>
            <w:noProof/>
            <w:webHidden/>
          </w:rPr>
          <w:instrText xml:space="preserve"> PAGEREF _Toc170919475 \h </w:instrText>
        </w:r>
        <w:r w:rsidRPr="00F41714">
          <w:rPr>
            <w:rFonts w:ascii="Arial" w:hAnsi="Arial" w:cs="Arial"/>
            <w:noProof/>
            <w:webHidden/>
          </w:rPr>
        </w:r>
        <w:r w:rsidRPr="00F41714">
          <w:rPr>
            <w:rFonts w:ascii="Arial" w:hAnsi="Arial" w:cs="Arial"/>
            <w:noProof/>
            <w:webHidden/>
          </w:rPr>
          <w:fldChar w:fldCharType="separate"/>
        </w:r>
        <w:r w:rsidR="00D44012">
          <w:rPr>
            <w:rFonts w:ascii="Arial" w:hAnsi="Arial" w:cs="Arial"/>
            <w:noProof/>
            <w:webHidden/>
          </w:rPr>
          <w:t>3</w:t>
        </w:r>
        <w:r w:rsidRPr="00F41714">
          <w:rPr>
            <w:rFonts w:ascii="Arial" w:hAnsi="Arial" w:cs="Arial"/>
            <w:noProof/>
            <w:webHidden/>
          </w:rPr>
          <w:fldChar w:fldCharType="end"/>
        </w:r>
      </w:hyperlink>
    </w:p>
    <w:p w14:paraId="24275E16" w14:textId="24D37465" w:rsidR="00F41714" w:rsidRPr="00F41714" w:rsidRDefault="00F41714">
      <w:pPr>
        <w:pStyle w:val="TOC2"/>
        <w:rPr>
          <w:rFonts w:ascii="Arial" w:eastAsiaTheme="minorEastAsia" w:hAnsi="Arial" w:cs="Arial"/>
          <w:b w:val="0"/>
          <w:bCs w:val="0"/>
          <w:noProof/>
          <w:kern w:val="2"/>
          <w:sz w:val="24"/>
          <w:szCs w:val="24"/>
          <w14:ligatures w14:val="standardContextual"/>
        </w:rPr>
      </w:pPr>
      <w:hyperlink w:anchor="_Toc170919476" w:history="1">
        <w:r w:rsidRPr="00F41714">
          <w:rPr>
            <w:rStyle w:val="Hyperlink"/>
            <w:rFonts w:ascii="Arial" w:hAnsi="Arial" w:cs="Arial"/>
            <w:noProof/>
          </w:rPr>
          <w:t>2.7</w:t>
        </w:r>
        <w:r w:rsidRPr="00F41714">
          <w:rPr>
            <w:rFonts w:ascii="Arial" w:eastAsiaTheme="minorEastAsia" w:hAnsi="Arial" w:cs="Arial"/>
            <w:b w:val="0"/>
            <w:bCs w:val="0"/>
            <w:noProof/>
            <w:kern w:val="2"/>
            <w:sz w:val="24"/>
            <w:szCs w:val="24"/>
            <w14:ligatures w14:val="standardContextual"/>
          </w:rPr>
          <w:tab/>
        </w:r>
        <w:r w:rsidRPr="00F41714">
          <w:rPr>
            <w:rStyle w:val="Hyperlink"/>
            <w:rFonts w:ascii="Arial" w:hAnsi="Arial" w:cs="Arial"/>
            <w:noProof/>
          </w:rPr>
          <w:t>Lack of capacity</w:t>
        </w:r>
        <w:r w:rsidRPr="00F41714">
          <w:rPr>
            <w:rFonts w:ascii="Arial" w:hAnsi="Arial" w:cs="Arial"/>
            <w:noProof/>
            <w:webHidden/>
          </w:rPr>
          <w:tab/>
        </w:r>
        <w:r w:rsidRPr="00F41714">
          <w:rPr>
            <w:rFonts w:ascii="Arial" w:hAnsi="Arial" w:cs="Arial"/>
            <w:noProof/>
            <w:webHidden/>
          </w:rPr>
          <w:fldChar w:fldCharType="begin"/>
        </w:r>
        <w:r w:rsidRPr="00F41714">
          <w:rPr>
            <w:rFonts w:ascii="Arial" w:hAnsi="Arial" w:cs="Arial"/>
            <w:noProof/>
            <w:webHidden/>
          </w:rPr>
          <w:instrText xml:space="preserve"> PAGEREF _Toc170919476 \h </w:instrText>
        </w:r>
        <w:r w:rsidRPr="00F41714">
          <w:rPr>
            <w:rFonts w:ascii="Arial" w:hAnsi="Arial" w:cs="Arial"/>
            <w:noProof/>
            <w:webHidden/>
          </w:rPr>
        </w:r>
        <w:r w:rsidRPr="00F41714">
          <w:rPr>
            <w:rFonts w:ascii="Arial" w:hAnsi="Arial" w:cs="Arial"/>
            <w:noProof/>
            <w:webHidden/>
          </w:rPr>
          <w:fldChar w:fldCharType="separate"/>
        </w:r>
        <w:r w:rsidR="00D44012">
          <w:rPr>
            <w:rFonts w:ascii="Arial" w:hAnsi="Arial" w:cs="Arial"/>
            <w:noProof/>
            <w:webHidden/>
          </w:rPr>
          <w:t>4</w:t>
        </w:r>
        <w:r w:rsidRPr="00F41714">
          <w:rPr>
            <w:rFonts w:ascii="Arial" w:hAnsi="Arial" w:cs="Arial"/>
            <w:noProof/>
            <w:webHidden/>
          </w:rPr>
          <w:fldChar w:fldCharType="end"/>
        </w:r>
      </w:hyperlink>
    </w:p>
    <w:p w14:paraId="1551367B" w14:textId="3D61AAC2" w:rsidR="00F41714" w:rsidRPr="00F41714" w:rsidRDefault="00F41714">
      <w:pPr>
        <w:pStyle w:val="TOC2"/>
        <w:rPr>
          <w:rFonts w:ascii="Arial" w:eastAsiaTheme="minorEastAsia" w:hAnsi="Arial" w:cs="Arial"/>
          <w:b w:val="0"/>
          <w:bCs w:val="0"/>
          <w:noProof/>
          <w:kern w:val="2"/>
          <w:sz w:val="24"/>
          <w:szCs w:val="24"/>
          <w14:ligatures w14:val="standardContextual"/>
        </w:rPr>
      </w:pPr>
      <w:hyperlink w:anchor="_Toc170919477" w:history="1">
        <w:r w:rsidRPr="00F41714">
          <w:rPr>
            <w:rStyle w:val="Hyperlink"/>
            <w:rFonts w:ascii="Arial" w:hAnsi="Arial" w:cs="Arial"/>
            <w:noProof/>
          </w:rPr>
          <w:t>2.8</w:t>
        </w:r>
        <w:r w:rsidRPr="00F41714">
          <w:rPr>
            <w:rFonts w:ascii="Arial" w:eastAsiaTheme="minorEastAsia" w:hAnsi="Arial" w:cs="Arial"/>
            <w:b w:val="0"/>
            <w:bCs w:val="0"/>
            <w:noProof/>
            <w:kern w:val="2"/>
            <w:sz w:val="24"/>
            <w:szCs w:val="24"/>
            <w14:ligatures w14:val="standardContextual"/>
          </w:rPr>
          <w:tab/>
        </w:r>
        <w:r w:rsidRPr="00F41714">
          <w:rPr>
            <w:rStyle w:val="Hyperlink"/>
            <w:rFonts w:ascii="Arial" w:hAnsi="Arial" w:cs="Arial"/>
            <w:noProof/>
          </w:rPr>
          <w:t>Independent Mental Capacity Advocates (IMCA)</w:t>
        </w:r>
        <w:r w:rsidRPr="00F41714">
          <w:rPr>
            <w:rFonts w:ascii="Arial" w:hAnsi="Arial" w:cs="Arial"/>
            <w:noProof/>
            <w:webHidden/>
          </w:rPr>
          <w:tab/>
        </w:r>
        <w:r w:rsidRPr="00F41714">
          <w:rPr>
            <w:rFonts w:ascii="Arial" w:hAnsi="Arial" w:cs="Arial"/>
            <w:noProof/>
            <w:webHidden/>
          </w:rPr>
          <w:fldChar w:fldCharType="begin"/>
        </w:r>
        <w:r w:rsidRPr="00F41714">
          <w:rPr>
            <w:rFonts w:ascii="Arial" w:hAnsi="Arial" w:cs="Arial"/>
            <w:noProof/>
            <w:webHidden/>
          </w:rPr>
          <w:instrText xml:space="preserve"> PAGEREF _Toc170919477 \h </w:instrText>
        </w:r>
        <w:r w:rsidRPr="00F41714">
          <w:rPr>
            <w:rFonts w:ascii="Arial" w:hAnsi="Arial" w:cs="Arial"/>
            <w:noProof/>
            <w:webHidden/>
          </w:rPr>
        </w:r>
        <w:r w:rsidRPr="00F41714">
          <w:rPr>
            <w:rFonts w:ascii="Arial" w:hAnsi="Arial" w:cs="Arial"/>
            <w:noProof/>
            <w:webHidden/>
          </w:rPr>
          <w:fldChar w:fldCharType="separate"/>
        </w:r>
        <w:r w:rsidR="00D44012">
          <w:rPr>
            <w:rFonts w:ascii="Arial" w:hAnsi="Arial" w:cs="Arial"/>
            <w:noProof/>
            <w:webHidden/>
          </w:rPr>
          <w:t>4</w:t>
        </w:r>
        <w:r w:rsidRPr="00F41714">
          <w:rPr>
            <w:rFonts w:ascii="Arial" w:hAnsi="Arial" w:cs="Arial"/>
            <w:noProof/>
            <w:webHidden/>
          </w:rPr>
          <w:fldChar w:fldCharType="end"/>
        </w:r>
      </w:hyperlink>
    </w:p>
    <w:p w14:paraId="67A3C0E8" w14:textId="45F681F8" w:rsidR="00F41714" w:rsidRPr="00F41714" w:rsidRDefault="00F41714">
      <w:pPr>
        <w:pStyle w:val="TOC1"/>
        <w:rPr>
          <w:rFonts w:ascii="Arial" w:eastAsiaTheme="minorEastAsia" w:hAnsi="Arial" w:cs="Arial"/>
          <w:b w:val="0"/>
          <w:bCs w:val="0"/>
          <w:kern w:val="2"/>
          <w:lang w:eastAsia="en-GB"/>
          <w14:ligatures w14:val="standardContextual"/>
        </w:rPr>
      </w:pPr>
      <w:hyperlink w:anchor="_Toc170919478" w:history="1">
        <w:r w:rsidRPr="00F41714">
          <w:rPr>
            <w:rStyle w:val="Hyperlink"/>
            <w:rFonts w:ascii="Arial" w:hAnsi="Arial" w:cs="Arial"/>
          </w:rPr>
          <w:t>3</w:t>
        </w:r>
        <w:r w:rsidRPr="00F41714">
          <w:rPr>
            <w:rFonts w:ascii="Arial" w:eastAsiaTheme="minorEastAsia" w:hAnsi="Arial" w:cs="Arial"/>
            <w:b w:val="0"/>
            <w:bCs w:val="0"/>
            <w:kern w:val="2"/>
            <w:lang w:eastAsia="en-GB"/>
            <w14:ligatures w14:val="standardContextual"/>
          </w:rPr>
          <w:tab/>
        </w:r>
        <w:r w:rsidRPr="00F41714">
          <w:rPr>
            <w:rStyle w:val="Hyperlink"/>
            <w:rFonts w:ascii="Arial" w:hAnsi="Arial" w:cs="Arial"/>
          </w:rPr>
          <w:t>Useful terminology</w:t>
        </w:r>
        <w:r w:rsidRPr="00F41714">
          <w:rPr>
            <w:rFonts w:ascii="Arial" w:hAnsi="Arial" w:cs="Arial"/>
            <w:webHidden/>
          </w:rPr>
          <w:tab/>
        </w:r>
        <w:r w:rsidRPr="00F41714">
          <w:rPr>
            <w:rFonts w:ascii="Arial" w:hAnsi="Arial" w:cs="Arial"/>
            <w:webHidden/>
          </w:rPr>
          <w:fldChar w:fldCharType="begin"/>
        </w:r>
        <w:r w:rsidRPr="00F41714">
          <w:rPr>
            <w:rFonts w:ascii="Arial" w:hAnsi="Arial" w:cs="Arial"/>
            <w:webHidden/>
          </w:rPr>
          <w:instrText xml:space="preserve"> PAGEREF _Toc170919478 \h </w:instrText>
        </w:r>
        <w:r w:rsidRPr="00F41714">
          <w:rPr>
            <w:rFonts w:ascii="Arial" w:hAnsi="Arial" w:cs="Arial"/>
            <w:webHidden/>
          </w:rPr>
        </w:r>
        <w:r w:rsidRPr="00F41714">
          <w:rPr>
            <w:rFonts w:ascii="Arial" w:hAnsi="Arial" w:cs="Arial"/>
            <w:webHidden/>
          </w:rPr>
          <w:fldChar w:fldCharType="separate"/>
        </w:r>
        <w:r w:rsidR="00D44012">
          <w:rPr>
            <w:rFonts w:ascii="Arial" w:hAnsi="Arial" w:cs="Arial"/>
            <w:webHidden/>
          </w:rPr>
          <w:t>4</w:t>
        </w:r>
        <w:r w:rsidRPr="00F41714">
          <w:rPr>
            <w:rFonts w:ascii="Arial" w:hAnsi="Arial" w:cs="Arial"/>
            <w:webHidden/>
          </w:rPr>
          <w:fldChar w:fldCharType="end"/>
        </w:r>
      </w:hyperlink>
    </w:p>
    <w:p w14:paraId="102C7547" w14:textId="0115BAFB" w:rsidR="00F41714" w:rsidRPr="00F41714" w:rsidRDefault="00F41714">
      <w:pPr>
        <w:pStyle w:val="TOC2"/>
        <w:rPr>
          <w:rFonts w:ascii="Arial" w:eastAsiaTheme="minorEastAsia" w:hAnsi="Arial" w:cs="Arial"/>
          <w:b w:val="0"/>
          <w:bCs w:val="0"/>
          <w:noProof/>
          <w:kern w:val="2"/>
          <w:sz w:val="24"/>
          <w:szCs w:val="24"/>
          <w14:ligatures w14:val="standardContextual"/>
        </w:rPr>
      </w:pPr>
      <w:hyperlink w:anchor="_Toc170919479" w:history="1">
        <w:r w:rsidRPr="00F41714">
          <w:rPr>
            <w:rStyle w:val="Hyperlink"/>
            <w:rFonts w:ascii="Arial" w:hAnsi="Arial" w:cs="Arial"/>
            <w:noProof/>
          </w:rPr>
          <w:t>3.1</w:t>
        </w:r>
        <w:r w:rsidRPr="00F41714">
          <w:rPr>
            <w:rFonts w:ascii="Arial" w:eastAsiaTheme="minorEastAsia" w:hAnsi="Arial" w:cs="Arial"/>
            <w:b w:val="0"/>
            <w:bCs w:val="0"/>
            <w:noProof/>
            <w:kern w:val="2"/>
            <w:sz w:val="24"/>
            <w:szCs w:val="24"/>
            <w14:ligatures w14:val="standardContextual"/>
          </w:rPr>
          <w:tab/>
        </w:r>
        <w:r w:rsidRPr="00F41714">
          <w:rPr>
            <w:rStyle w:val="Hyperlink"/>
            <w:rFonts w:ascii="Arial" w:hAnsi="Arial" w:cs="Arial"/>
            <w:noProof/>
          </w:rPr>
          <w:t>Advance decisions</w:t>
        </w:r>
        <w:r w:rsidRPr="00F41714">
          <w:rPr>
            <w:rFonts w:ascii="Arial" w:hAnsi="Arial" w:cs="Arial"/>
            <w:noProof/>
            <w:webHidden/>
          </w:rPr>
          <w:tab/>
        </w:r>
        <w:r w:rsidRPr="00F41714">
          <w:rPr>
            <w:rFonts w:ascii="Arial" w:hAnsi="Arial" w:cs="Arial"/>
            <w:noProof/>
            <w:webHidden/>
          </w:rPr>
          <w:fldChar w:fldCharType="begin"/>
        </w:r>
        <w:r w:rsidRPr="00F41714">
          <w:rPr>
            <w:rFonts w:ascii="Arial" w:hAnsi="Arial" w:cs="Arial"/>
            <w:noProof/>
            <w:webHidden/>
          </w:rPr>
          <w:instrText xml:space="preserve"> PAGEREF _Toc170919479 \h </w:instrText>
        </w:r>
        <w:r w:rsidRPr="00F41714">
          <w:rPr>
            <w:rFonts w:ascii="Arial" w:hAnsi="Arial" w:cs="Arial"/>
            <w:noProof/>
            <w:webHidden/>
          </w:rPr>
        </w:r>
        <w:r w:rsidRPr="00F41714">
          <w:rPr>
            <w:rFonts w:ascii="Arial" w:hAnsi="Arial" w:cs="Arial"/>
            <w:noProof/>
            <w:webHidden/>
          </w:rPr>
          <w:fldChar w:fldCharType="separate"/>
        </w:r>
        <w:r w:rsidR="00D44012">
          <w:rPr>
            <w:rFonts w:ascii="Arial" w:hAnsi="Arial" w:cs="Arial"/>
            <w:noProof/>
            <w:webHidden/>
          </w:rPr>
          <w:t>4</w:t>
        </w:r>
        <w:r w:rsidRPr="00F41714">
          <w:rPr>
            <w:rFonts w:ascii="Arial" w:hAnsi="Arial" w:cs="Arial"/>
            <w:noProof/>
            <w:webHidden/>
          </w:rPr>
          <w:fldChar w:fldCharType="end"/>
        </w:r>
      </w:hyperlink>
    </w:p>
    <w:p w14:paraId="149BD4FA" w14:textId="7ABF9C3C" w:rsidR="00F41714" w:rsidRPr="00F41714" w:rsidRDefault="00F41714">
      <w:pPr>
        <w:pStyle w:val="TOC2"/>
        <w:rPr>
          <w:rFonts w:ascii="Arial" w:eastAsiaTheme="minorEastAsia" w:hAnsi="Arial" w:cs="Arial"/>
          <w:b w:val="0"/>
          <w:bCs w:val="0"/>
          <w:noProof/>
          <w:kern w:val="2"/>
          <w:sz w:val="24"/>
          <w:szCs w:val="24"/>
          <w14:ligatures w14:val="standardContextual"/>
        </w:rPr>
      </w:pPr>
      <w:hyperlink w:anchor="_Toc170919480" w:history="1">
        <w:r w:rsidRPr="00F41714">
          <w:rPr>
            <w:rStyle w:val="Hyperlink"/>
            <w:rFonts w:ascii="Arial" w:hAnsi="Arial" w:cs="Arial"/>
            <w:noProof/>
          </w:rPr>
          <w:t>3.2</w:t>
        </w:r>
        <w:r w:rsidRPr="00F41714">
          <w:rPr>
            <w:rFonts w:ascii="Arial" w:eastAsiaTheme="minorEastAsia" w:hAnsi="Arial" w:cs="Arial"/>
            <w:b w:val="0"/>
            <w:bCs w:val="0"/>
            <w:noProof/>
            <w:kern w:val="2"/>
            <w:sz w:val="24"/>
            <w:szCs w:val="24"/>
            <w14:ligatures w14:val="standardContextual"/>
          </w:rPr>
          <w:tab/>
        </w:r>
        <w:r w:rsidRPr="00F41714">
          <w:rPr>
            <w:rStyle w:val="Hyperlink"/>
            <w:rFonts w:ascii="Arial" w:hAnsi="Arial" w:cs="Arial"/>
            <w:noProof/>
          </w:rPr>
          <w:t>Advance statement</w:t>
        </w:r>
        <w:r w:rsidRPr="00F41714">
          <w:rPr>
            <w:rFonts w:ascii="Arial" w:hAnsi="Arial" w:cs="Arial"/>
            <w:noProof/>
            <w:webHidden/>
          </w:rPr>
          <w:tab/>
        </w:r>
        <w:r w:rsidRPr="00F41714">
          <w:rPr>
            <w:rFonts w:ascii="Arial" w:hAnsi="Arial" w:cs="Arial"/>
            <w:noProof/>
            <w:webHidden/>
          </w:rPr>
          <w:fldChar w:fldCharType="begin"/>
        </w:r>
        <w:r w:rsidRPr="00F41714">
          <w:rPr>
            <w:rFonts w:ascii="Arial" w:hAnsi="Arial" w:cs="Arial"/>
            <w:noProof/>
            <w:webHidden/>
          </w:rPr>
          <w:instrText xml:space="preserve"> PAGEREF _Toc170919480 \h </w:instrText>
        </w:r>
        <w:r w:rsidRPr="00F41714">
          <w:rPr>
            <w:rFonts w:ascii="Arial" w:hAnsi="Arial" w:cs="Arial"/>
            <w:noProof/>
            <w:webHidden/>
          </w:rPr>
        </w:r>
        <w:r w:rsidRPr="00F41714">
          <w:rPr>
            <w:rFonts w:ascii="Arial" w:hAnsi="Arial" w:cs="Arial"/>
            <w:noProof/>
            <w:webHidden/>
          </w:rPr>
          <w:fldChar w:fldCharType="separate"/>
        </w:r>
        <w:r w:rsidR="00D44012">
          <w:rPr>
            <w:rFonts w:ascii="Arial" w:hAnsi="Arial" w:cs="Arial"/>
            <w:noProof/>
            <w:webHidden/>
          </w:rPr>
          <w:t>4</w:t>
        </w:r>
        <w:r w:rsidRPr="00F41714">
          <w:rPr>
            <w:rFonts w:ascii="Arial" w:hAnsi="Arial" w:cs="Arial"/>
            <w:noProof/>
            <w:webHidden/>
          </w:rPr>
          <w:fldChar w:fldCharType="end"/>
        </w:r>
      </w:hyperlink>
    </w:p>
    <w:p w14:paraId="3946266E" w14:textId="1FD9487F" w:rsidR="00F41714" w:rsidRPr="00F41714" w:rsidRDefault="00F41714">
      <w:pPr>
        <w:pStyle w:val="TOC2"/>
        <w:rPr>
          <w:rFonts w:ascii="Arial" w:eastAsiaTheme="minorEastAsia" w:hAnsi="Arial" w:cs="Arial"/>
          <w:b w:val="0"/>
          <w:bCs w:val="0"/>
          <w:noProof/>
          <w:kern w:val="2"/>
          <w:sz w:val="24"/>
          <w:szCs w:val="24"/>
          <w14:ligatures w14:val="standardContextual"/>
        </w:rPr>
      </w:pPr>
      <w:hyperlink w:anchor="_Toc170919481" w:history="1">
        <w:r w:rsidRPr="00F41714">
          <w:rPr>
            <w:rStyle w:val="Hyperlink"/>
            <w:rFonts w:ascii="Arial" w:hAnsi="Arial" w:cs="Arial"/>
            <w:noProof/>
          </w:rPr>
          <w:t>3.3</w:t>
        </w:r>
        <w:r w:rsidRPr="00F41714">
          <w:rPr>
            <w:rFonts w:ascii="Arial" w:eastAsiaTheme="minorEastAsia" w:hAnsi="Arial" w:cs="Arial"/>
            <w:b w:val="0"/>
            <w:bCs w:val="0"/>
            <w:noProof/>
            <w:kern w:val="2"/>
            <w:sz w:val="24"/>
            <w:szCs w:val="24"/>
            <w14:ligatures w14:val="standardContextual"/>
          </w:rPr>
          <w:tab/>
        </w:r>
        <w:r w:rsidRPr="00F41714">
          <w:rPr>
            <w:rStyle w:val="Hyperlink"/>
            <w:rFonts w:ascii="Arial" w:hAnsi="Arial" w:cs="Arial"/>
            <w:noProof/>
          </w:rPr>
          <w:t>Power of attorney</w:t>
        </w:r>
        <w:r w:rsidRPr="00F41714">
          <w:rPr>
            <w:rFonts w:ascii="Arial" w:hAnsi="Arial" w:cs="Arial"/>
            <w:noProof/>
            <w:webHidden/>
          </w:rPr>
          <w:tab/>
        </w:r>
        <w:r w:rsidRPr="00F41714">
          <w:rPr>
            <w:rFonts w:ascii="Arial" w:hAnsi="Arial" w:cs="Arial"/>
            <w:noProof/>
            <w:webHidden/>
          </w:rPr>
          <w:fldChar w:fldCharType="begin"/>
        </w:r>
        <w:r w:rsidRPr="00F41714">
          <w:rPr>
            <w:rFonts w:ascii="Arial" w:hAnsi="Arial" w:cs="Arial"/>
            <w:noProof/>
            <w:webHidden/>
          </w:rPr>
          <w:instrText xml:space="preserve"> PAGEREF _Toc170919481 \h </w:instrText>
        </w:r>
        <w:r w:rsidRPr="00F41714">
          <w:rPr>
            <w:rFonts w:ascii="Arial" w:hAnsi="Arial" w:cs="Arial"/>
            <w:noProof/>
            <w:webHidden/>
          </w:rPr>
        </w:r>
        <w:r w:rsidRPr="00F41714">
          <w:rPr>
            <w:rFonts w:ascii="Arial" w:hAnsi="Arial" w:cs="Arial"/>
            <w:noProof/>
            <w:webHidden/>
          </w:rPr>
          <w:fldChar w:fldCharType="separate"/>
        </w:r>
        <w:r w:rsidR="00D44012">
          <w:rPr>
            <w:rFonts w:ascii="Arial" w:hAnsi="Arial" w:cs="Arial"/>
            <w:noProof/>
            <w:webHidden/>
          </w:rPr>
          <w:t>5</w:t>
        </w:r>
        <w:r w:rsidRPr="00F41714">
          <w:rPr>
            <w:rFonts w:ascii="Arial" w:hAnsi="Arial" w:cs="Arial"/>
            <w:noProof/>
            <w:webHidden/>
          </w:rPr>
          <w:fldChar w:fldCharType="end"/>
        </w:r>
      </w:hyperlink>
    </w:p>
    <w:p w14:paraId="533D18DC" w14:textId="4F7FD3CD" w:rsidR="00F41714" w:rsidRPr="00F41714" w:rsidRDefault="00F41714">
      <w:pPr>
        <w:pStyle w:val="TOC2"/>
        <w:rPr>
          <w:rFonts w:ascii="Arial" w:eastAsiaTheme="minorEastAsia" w:hAnsi="Arial" w:cs="Arial"/>
          <w:b w:val="0"/>
          <w:bCs w:val="0"/>
          <w:noProof/>
          <w:kern w:val="2"/>
          <w:sz w:val="24"/>
          <w:szCs w:val="24"/>
          <w14:ligatures w14:val="standardContextual"/>
        </w:rPr>
      </w:pPr>
      <w:hyperlink w:anchor="_Toc170919482" w:history="1">
        <w:r w:rsidRPr="00F41714">
          <w:rPr>
            <w:rStyle w:val="Hyperlink"/>
            <w:rFonts w:ascii="Arial" w:hAnsi="Arial" w:cs="Arial"/>
            <w:noProof/>
          </w:rPr>
          <w:t>3.4</w:t>
        </w:r>
        <w:r w:rsidRPr="00F41714">
          <w:rPr>
            <w:rFonts w:ascii="Arial" w:eastAsiaTheme="minorEastAsia" w:hAnsi="Arial" w:cs="Arial"/>
            <w:b w:val="0"/>
            <w:bCs w:val="0"/>
            <w:noProof/>
            <w:kern w:val="2"/>
            <w:sz w:val="24"/>
            <w:szCs w:val="24"/>
            <w14:ligatures w14:val="standardContextual"/>
          </w:rPr>
          <w:tab/>
        </w:r>
        <w:r w:rsidRPr="00F41714">
          <w:rPr>
            <w:rStyle w:val="Hyperlink"/>
            <w:rFonts w:ascii="Arial" w:hAnsi="Arial" w:cs="Arial"/>
            <w:noProof/>
          </w:rPr>
          <w:t>Court of Protection</w:t>
        </w:r>
        <w:r w:rsidRPr="00F41714">
          <w:rPr>
            <w:rFonts w:ascii="Arial" w:hAnsi="Arial" w:cs="Arial"/>
            <w:noProof/>
            <w:webHidden/>
          </w:rPr>
          <w:tab/>
        </w:r>
        <w:r w:rsidRPr="00F41714">
          <w:rPr>
            <w:rFonts w:ascii="Arial" w:hAnsi="Arial" w:cs="Arial"/>
            <w:noProof/>
            <w:webHidden/>
          </w:rPr>
          <w:fldChar w:fldCharType="begin"/>
        </w:r>
        <w:r w:rsidRPr="00F41714">
          <w:rPr>
            <w:rFonts w:ascii="Arial" w:hAnsi="Arial" w:cs="Arial"/>
            <w:noProof/>
            <w:webHidden/>
          </w:rPr>
          <w:instrText xml:space="preserve"> PAGEREF _Toc170919482 \h </w:instrText>
        </w:r>
        <w:r w:rsidRPr="00F41714">
          <w:rPr>
            <w:rFonts w:ascii="Arial" w:hAnsi="Arial" w:cs="Arial"/>
            <w:noProof/>
            <w:webHidden/>
          </w:rPr>
        </w:r>
        <w:r w:rsidRPr="00F41714">
          <w:rPr>
            <w:rFonts w:ascii="Arial" w:hAnsi="Arial" w:cs="Arial"/>
            <w:noProof/>
            <w:webHidden/>
          </w:rPr>
          <w:fldChar w:fldCharType="separate"/>
        </w:r>
        <w:r w:rsidR="00D44012">
          <w:rPr>
            <w:rFonts w:ascii="Arial" w:hAnsi="Arial" w:cs="Arial"/>
            <w:noProof/>
            <w:webHidden/>
          </w:rPr>
          <w:t>5</w:t>
        </w:r>
        <w:r w:rsidRPr="00F41714">
          <w:rPr>
            <w:rFonts w:ascii="Arial" w:hAnsi="Arial" w:cs="Arial"/>
            <w:noProof/>
            <w:webHidden/>
          </w:rPr>
          <w:fldChar w:fldCharType="end"/>
        </w:r>
      </w:hyperlink>
    </w:p>
    <w:p w14:paraId="54148542" w14:textId="69EF9406" w:rsidR="00CD211E" w:rsidRPr="007979AA" w:rsidRDefault="00CD211E" w:rsidP="00CD211E">
      <w:pPr>
        <w:rPr>
          <w:rFonts w:ascii="Arial" w:hAnsi="Arial" w:cs="Arial"/>
          <w:b/>
          <w:sz w:val="20"/>
          <w:szCs w:val="28"/>
        </w:rPr>
      </w:pPr>
      <w:r w:rsidRPr="007979AA">
        <w:rPr>
          <w:rFonts w:ascii="Arial" w:hAnsi="Arial" w:cs="Arial"/>
          <w:b/>
          <w:sz w:val="20"/>
          <w:szCs w:val="28"/>
        </w:rPr>
        <w:fldChar w:fldCharType="end"/>
      </w:r>
    </w:p>
    <w:p w14:paraId="324919C2" w14:textId="77777777" w:rsidR="00CD211E" w:rsidRPr="007979AA" w:rsidRDefault="00CD211E" w:rsidP="00CD211E">
      <w:pPr>
        <w:rPr>
          <w:rFonts w:ascii="Arial" w:hAnsi="Arial" w:cs="Arial"/>
          <w:b/>
          <w:sz w:val="28"/>
          <w:szCs w:val="28"/>
        </w:rPr>
      </w:pPr>
      <w:r w:rsidRPr="007979AA">
        <w:rPr>
          <w:rFonts w:ascii="Arial" w:hAnsi="Arial" w:cs="Arial"/>
          <w:b/>
          <w:sz w:val="28"/>
          <w:szCs w:val="28"/>
        </w:rPr>
        <w:br w:type="page"/>
      </w:r>
    </w:p>
    <w:p w14:paraId="396DE6B7" w14:textId="77777777" w:rsidR="00CD211E" w:rsidRPr="005C256E"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170919466"/>
      <w:r w:rsidRPr="005C256E">
        <w:rPr>
          <w:sz w:val="28"/>
          <w:szCs w:val="28"/>
        </w:rPr>
        <w:lastRenderedPageBreak/>
        <w:t>Introduction</w:t>
      </w:r>
      <w:bookmarkEnd w:id="0"/>
    </w:p>
    <w:p w14:paraId="4838E002" w14:textId="38B41F51" w:rsidR="00CD211E" w:rsidRPr="007979AA" w:rsidRDefault="00D42138" w:rsidP="00CD211E">
      <w:pPr>
        <w:pStyle w:val="Heading2"/>
        <w:rPr>
          <w:rFonts w:ascii="Arial" w:hAnsi="Arial" w:cs="Arial"/>
          <w:smallCaps w:val="0"/>
          <w:sz w:val="24"/>
          <w:szCs w:val="24"/>
          <w:lang w:val="en-GB"/>
        </w:rPr>
      </w:pPr>
      <w:bookmarkStart w:id="1" w:name="_Toc170919467"/>
      <w:r w:rsidRPr="007979AA">
        <w:rPr>
          <w:rFonts w:ascii="Arial" w:hAnsi="Arial" w:cs="Arial"/>
          <w:smallCaps w:val="0"/>
          <w:sz w:val="24"/>
          <w:szCs w:val="24"/>
          <w:lang w:val="en-GB"/>
        </w:rPr>
        <w:t>P</w:t>
      </w:r>
      <w:r w:rsidR="00CD211E" w:rsidRPr="007979AA">
        <w:rPr>
          <w:rFonts w:ascii="Arial" w:hAnsi="Arial" w:cs="Arial"/>
          <w:smallCaps w:val="0"/>
          <w:sz w:val="24"/>
          <w:szCs w:val="24"/>
          <w:lang w:val="en-GB"/>
        </w:rPr>
        <w:t xml:space="preserve">olicy </w:t>
      </w:r>
      <w:r w:rsidR="003E3B00" w:rsidRPr="007979AA">
        <w:rPr>
          <w:rFonts w:ascii="Arial" w:hAnsi="Arial" w:cs="Arial"/>
          <w:smallCaps w:val="0"/>
          <w:sz w:val="24"/>
          <w:szCs w:val="24"/>
          <w:lang w:val="en-GB"/>
        </w:rPr>
        <w:t>s</w:t>
      </w:r>
      <w:r w:rsidR="00CD211E" w:rsidRPr="007979AA">
        <w:rPr>
          <w:rFonts w:ascii="Arial" w:hAnsi="Arial" w:cs="Arial"/>
          <w:smallCaps w:val="0"/>
          <w:sz w:val="24"/>
          <w:szCs w:val="24"/>
          <w:lang w:val="en-GB"/>
        </w:rPr>
        <w:t>tatement</w:t>
      </w:r>
      <w:bookmarkEnd w:id="1"/>
    </w:p>
    <w:p w14:paraId="48F68B49" w14:textId="77777777" w:rsidR="00CD211E" w:rsidRPr="007979AA" w:rsidRDefault="00CD211E" w:rsidP="00CD211E"/>
    <w:p w14:paraId="0EA07C3B" w14:textId="0A2F7F35" w:rsidR="005C256E" w:rsidRDefault="00B62AFB" w:rsidP="005C256E">
      <w:pPr>
        <w:rPr>
          <w:rFonts w:ascii="Arial" w:hAnsi="Arial" w:cs="Arial"/>
          <w:sz w:val="22"/>
          <w:szCs w:val="22"/>
        </w:rPr>
      </w:pPr>
      <w:r>
        <w:rPr>
          <w:rFonts w:ascii="Arial" w:hAnsi="Arial" w:cs="Arial"/>
          <w:sz w:val="22"/>
          <w:szCs w:val="22"/>
        </w:rPr>
        <w:t xml:space="preserve">The </w:t>
      </w:r>
      <w:hyperlink r:id="rId9" w:history="1">
        <w:r w:rsidRPr="00B62AFB">
          <w:rPr>
            <w:rStyle w:val="Hyperlink"/>
            <w:rFonts w:ascii="Arial" w:hAnsi="Arial" w:cs="Arial"/>
            <w:sz w:val="22"/>
            <w:szCs w:val="22"/>
          </w:rPr>
          <w:t xml:space="preserve">Mental Capacity Act 2005 </w:t>
        </w:r>
        <w:r w:rsidRPr="00C6640A">
          <w:rPr>
            <w:rStyle w:val="Hyperlink"/>
            <w:rFonts w:ascii="Arial" w:hAnsi="Arial" w:cs="Arial"/>
            <w:color w:val="auto"/>
            <w:sz w:val="22"/>
            <w:szCs w:val="22"/>
            <w:u w:val="none"/>
          </w:rPr>
          <w:t>(MCA</w:t>
        </w:r>
      </w:hyperlink>
      <w:r>
        <w:rPr>
          <w:rFonts w:ascii="Arial" w:hAnsi="Arial" w:cs="Arial"/>
          <w:sz w:val="22"/>
          <w:szCs w:val="22"/>
        </w:rPr>
        <w:t>) provides a framework for making decisions on behalf of individual</w:t>
      </w:r>
      <w:r w:rsidR="00EC6CE6">
        <w:rPr>
          <w:rFonts w:ascii="Arial" w:hAnsi="Arial" w:cs="Arial"/>
          <w:sz w:val="22"/>
          <w:szCs w:val="22"/>
        </w:rPr>
        <w:t>s</w:t>
      </w:r>
      <w:r>
        <w:rPr>
          <w:rFonts w:ascii="Arial" w:hAnsi="Arial" w:cs="Arial"/>
          <w:sz w:val="22"/>
          <w:szCs w:val="22"/>
        </w:rPr>
        <w:t xml:space="preserve"> who lack the capacity to make those decisions themselves.</w:t>
      </w:r>
      <w:r w:rsidR="00E717A4">
        <w:rPr>
          <w:rFonts w:ascii="Arial" w:hAnsi="Arial" w:cs="Arial"/>
          <w:sz w:val="22"/>
          <w:szCs w:val="22"/>
        </w:rPr>
        <w:t xml:space="preserve"> </w:t>
      </w:r>
      <w:r w:rsidR="005C256E" w:rsidRPr="007979AA">
        <w:rPr>
          <w:rFonts w:ascii="Arial" w:hAnsi="Arial" w:cs="Arial"/>
          <w:sz w:val="22"/>
          <w:szCs w:val="22"/>
        </w:rPr>
        <w:t xml:space="preserve">This </w:t>
      </w:r>
      <w:r>
        <w:rPr>
          <w:rFonts w:ascii="Arial" w:hAnsi="Arial" w:cs="Arial"/>
          <w:sz w:val="22"/>
          <w:szCs w:val="22"/>
        </w:rPr>
        <w:t xml:space="preserve">policy </w:t>
      </w:r>
      <w:r w:rsidR="005C256E" w:rsidRPr="007979AA">
        <w:rPr>
          <w:rFonts w:ascii="Arial" w:hAnsi="Arial" w:cs="Arial"/>
          <w:sz w:val="22"/>
          <w:szCs w:val="22"/>
        </w:rPr>
        <w:t>explains the</w:t>
      </w:r>
      <w:r w:rsidR="005C256E" w:rsidRPr="005C256E">
        <w:rPr>
          <w:rFonts w:ascii="Arial" w:hAnsi="Arial" w:cs="Arial"/>
          <w:sz w:val="22"/>
          <w:szCs w:val="22"/>
        </w:rPr>
        <w:t xml:space="preserve"> </w:t>
      </w:r>
      <w:r w:rsidR="00E717A4" w:rsidRPr="00E717A4">
        <w:rPr>
          <w:rFonts w:ascii="Arial" w:hAnsi="Arial" w:cs="Arial"/>
          <w:sz w:val="22"/>
          <w:szCs w:val="22"/>
        </w:rPr>
        <w:t>MCA</w:t>
      </w:r>
      <w:r w:rsidR="005C256E" w:rsidRPr="007979AA">
        <w:rPr>
          <w:rFonts w:ascii="Arial" w:hAnsi="Arial" w:cs="Arial"/>
          <w:sz w:val="22"/>
          <w:szCs w:val="22"/>
        </w:rPr>
        <w:t xml:space="preserve"> and the</w:t>
      </w:r>
      <w:r w:rsidR="005C256E" w:rsidRPr="005C256E">
        <w:rPr>
          <w:rFonts w:ascii="Arial" w:hAnsi="Arial" w:cs="Arial"/>
          <w:sz w:val="22"/>
          <w:szCs w:val="22"/>
        </w:rPr>
        <w:t xml:space="preserve"> </w:t>
      </w:r>
      <w:hyperlink r:id="rId10" w:anchor=":~:text=The%20Deprivation%20of%20Liberty%20Safeguards%20%28DoLS%29%20procedure%20is,lack%20mental%20capacity%20to%20consent%20to%20being%20there." w:history="1">
        <w:r w:rsidR="005C256E" w:rsidRPr="00933C26">
          <w:rPr>
            <w:rStyle w:val="Hyperlink"/>
            <w:rFonts w:ascii="Arial" w:hAnsi="Arial" w:cs="Arial"/>
            <w:sz w:val="22"/>
            <w:szCs w:val="22"/>
          </w:rPr>
          <w:t xml:space="preserve">Deprivation of Liberty Safeguards </w:t>
        </w:r>
        <w:r w:rsidR="005C256E" w:rsidRPr="00C6640A">
          <w:rPr>
            <w:rStyle w:val="Hyperlink"/>
            <w:rFonts w:ascii="Arial" w:hAnsi="Arial" w:cs="Arial"/>
            <w:color w:val="auto"/>
            <w:sz w:val="22"/>
            <w:szCs w:val="22"/>
            <w:u w:val="none"/>
          </w:rPr>
          <w:t>(</w:t>
        </w:r>
        <w:proofErr w:type="spellStart"/>
        <w:r w:rsidR="005C256E" w:rsidRPr="00C6640A">
          <w:rPr>
            <w:rStyle w:val="Hyperlink"/>
            <w:rFonts w:ascii="Arial" w:hAnsi="Arial" w:cs="Arial"/>
            <w:color w:val="auto"/>
            <w:sz w:val="22"/>
            <w:szCs w:val="22"/>
            <w:u w:val="none"/>
          </w:rPr>
          <w:t>DoLS</w:t>
        </w:r>
        <w:proofErr w:type="spellEnd"/>
      </w:hyperlink>
      <w:r w:rsidR="00C6640A">
        <w:rPr>
          <w:rStyle w:val="Hyperlink"/>
          <w:rFonts w:ascii="Arial" w:hAnsi="Arial" w:cs="Arial"/>
          <w:color w:val="auto"/>
          <w:sz w:val="22"/>
          <w:szCs w:val="22"/>
          <w:u w:val="none"/>
        </w:rPr>
        <w:t>)</w:t>
      </w:r>
      <w:r w:rsidR="005C256E" w:rsidRPr="007979AA">
        <w:rPr>
          <w:rFonts w:ascii="Arial" w:hAnsi="Arial" w:cs="Arial"/>
          <w:sz w:val="22"/>
          <w:szCs w:val="22"/>
        </w:rPr>
        <w:t xml:space="preserve"> and how they apply to daily practice at </w:t>
      </w:r>
      <w:r w:rsidR="00B50AA2">
        <w:rPr>
          <w:rFonts w:ascii="Arial" w:hAnsi="Arial" w:cs="Arial"/>
          <w:sz w:val="22"/>
          <w:szCs w:val="22"/>
        </w:rPr>
        <w:t>Sheerwater Health Centre</w:t>
      </w:r>
      <w:r w:rsidR="005C256E" w:rsidRPr="007979AA">
        <w:rPr>
          <w:rFonts w:ascii="Arial" w:hAnsi="Arial" w:cs="Arial"/>
          <w:sz w:val="22"/>
          <w:szCs w:val="22"/>
        </w:rPr>
        <w:t xml:space="preserve">. </w:t>
      </w:r>
    </w:p>
    <w:p w14:paraId="182A721C" w14:textId="77777777" w:rsidR="005C256E" w:rsidRPr="005C256E" w:rsidRDefault="005C256E" w:rsidP="00CD211E">
      <w:pPr>
        <w:rPr>
          <w:rStyle w:val="Strong"/>
          <w:rFonts w:ascii="Arial" w:hAnsi="Arial" w:cs="Arial"/>
          <w:b w:val="0"/>
          <w:color w:val="000000" w:themeColor="text1"/>
          <w:sz w:val="22"/>
          <w:szCs w:val="22"/>
        </w:rPr>
      </w:pPr>
    </w:p>
    <w:p w14:paraId="65C2C7AF" w14:textId="6FFA122D" w:rsidR="000D78CB" w:rsidRPr="005C256E" w:rsidRDefault="005C256E" w:rsidP="00CD211E">
      <w:pPr>
        <w:rPr>
          <w:rStyle w:val="Strong"/>
          <w:rFonts w:ascii="Arial" w:hAnsi="Arial" w:cs="Arial"/>
          <w:b w:val="0"/>
          <w:color w:val="000000" w:themeColor="text1"/>
          <w:sz w:val="22"/>
          <w:szCs w:val="22"/>
        </w:rPr>
      </w:pPr>
      <w:r w:rsidRPr="005C256E">
        <w:rPr>
          <w:rStyle w:val="Strong"/>
          <w:rFonts w:ascii="Arial" w:hAnsi="Arial" w:cs="Arial"/>
          <w:b w:val="0"/>
          <w:color w:val="000000" w:themeColor="text1"/>
          <w:sz w:val="22"/>
          <w:szCs w:val="22"/>
        </w:rPr>
        <w:t>T</w:t>
      </w:r>
      <w:r w:rsidR="000D78CB" w:rsidRPr="005C256E">
        <w:rPr>
          <w:rStyle w:val="Strong"/>
          <w:rFonts w:ascii="Arial" w:hAnsi="Arial" w:cs="Arial"/>
          <w:b w:val="0"/>
          <w:color w:val="000000" w:themeColor="text1"/>
          <w:sz w:val="22"/>
          <w:szCs w:val="22"/>
        </w:rPr>
        <w:t>his policy should be read in conjunction with</w:t>
      </w:r>
      <w:r w:rsidR="00EC6CE6">
        <w:rPr>
          <w:rStyle w:val="Strong"/>
          <w:rFonts w:ascii="Arial" w:hAnsi="Arial" w:cs="Arial"/>
          <w:b w:val="0"/>
          <w:color w:val="000000" w:themeColor="text1"/>
          <w:sz w:val="22"/>
          <w:szCs w:val="22"/>
        </w:rPr>
        <w:t xml:space="preserve"> the CQC</w:t>
      </w:r>
      <w:r w:rsidR="00C6640A">
        <w:rPr>
          <w:rStyle w:val="Strong"/>
          <w:rFonts w:ascii="Arial" w:hAnsi="Arial" w:cs="Arial"/>
          <w:b w:val="0"/>
          <w:color w:val="000000" w:themeColor="text1"/>
          <w:sz w:val="22"/>
          <w:szCs w:val="22"/>
        </w:rPr>
        <w:t>’s</w:t>
      </w:r>
      <w:r w:rsidR="00EC6CE6">
        <w:rPr>
          <w:rStyle w:val="Strong"/>
          <w:rFonts w:ascii="Arial" w:hAnsi="Arial" w:cs="Arial"/>
          <w:b w:val="0"/>
          <w:color w:val="000000" w:themeColor="text1"/>
          <w:sz w:val="22"/>
          <w:szCs w:val="22"/>
        </w:rPr>
        <w:t xml:space="preserve"> </w:t>
      </w:r>
      <w:hyperlink r:id="rId11" w:history="1">
        <w:r w:rsidR="00EC6CE6" w:rsidRPr="00EC6CE6">
          <w:rPr>
            <w:rStyle w:val="Hyperlink"/>
            <w:rFonts w:ascii="Arial" w:hAnsi="Arial" w:cs="Arial"/>
            <w:sz w:val="22"/>
            <w:szCs w:val="22"/>
          </w:rPr>
          <w:t>About the Mental Capacity Act</w:t>
        </w:r>
      </w:hyperlink>
      <w:r w:rsidR="00EC6CE6">
        <w:rPr>
          <w:rStyle w:val="Strong"/>
          <w:rFonts w:ascii="Arial" w:hAnsi="Arial" w:cs="Arial"/>
          <w:b w:val="0"/>
          <w:color w:val="000000" w:themeColor="text1"/>
          <w:sz w:val="22"/>
          <w:szCs w:val="22"/>
        </w:rPr>
        <w:t xml:space="preserve"> guidance. </w:t>
      </w:r>
    </w:p>
    <w:p w14:paraId="0C8B803B" w14:textId="648E35F5" w:rsidR="00E70DF9" w:rsidRPr="005C256E" w:rsidRDefault="00E70DF9" w:rsidP="00CD211E">
      <w:pPr>
        <w:rPr>
          <w:rStyle w:val="Strong"/>
          <w:rFonts w:ascii="Arial" w:hAnsi="Arial" w:cs="Arial"/>
          <w:b w:val="0"/>
          <w:color w:val="000000" w:themeColor="text1"/>
          <w:sz w:val="22"/>
          <w:szCs w:val="22"/>
        </w:rPr>
      </w:pPr>
    </w:p>
    <w:p w14:paraId="0D39DD35" w14:textId="77777777" w:rsidR="005C256E" w:rsidRDefault="005C256E" w:rsidP="00CD211E">
      <w:pPr>
        <w:rPr>
          <w:rStyle w:val="Strong"/>
          <w:rFonts w:ascii="Arial" w:hAnsi="Arial" w:cs="Arial"/>
          <w:b w:val="0"/>
          <w:color w:val="000000" w:themeColor="text1"/>
          <w:sz w:val="22"/>
          <w:szCs w:val="22"/>
        </w:rPr>
      </w:pPr>
    </w:p>
    <w:p w14:paraId="631A300E" w14:textId="77777777" w:rsidR="004130C5" w:rsidRPr="007979AA" w:rsidRDefault="004130C5" w:rsidP="00CD211E">
      <w:pPr>
        <w:rPr>
          <w:rStyle w:val="Strong"/>
          <w:rFonts w:ascii="Arial" w:hAnsi="Arial" w:cs="Arial"/>
          <w:b w:val="0"/>
          <w:color w:val="000000" w:themeColor="text1"/>
          <w:sz w:val="6"/>
          <w:szCs w:val="6"/>
        </w:rPr>
      </w:pPr>
    </w:p>
    <w:p w14:paraId="7F4050D4" w14:textId="06A8C47F" w:rsidR="00CD211E" w:rsidRPr="007979AA" w:rsidRDefault="00D42138" w:rsidP="007979AA">
      <w:pPr>
        <w:pStyle w:val="Heading2"/>
        <w:spacing w:before="120" w:line="240" w:lineRule="auto"/>
        <w:ind w:left="578" w:hanging="578"/>
        <w:rPr>
          <w:rFonts w:ascii="Arial" w:hAnsi="Arial" w:cs="Arial"/>
          <w:smallCaps w:val="0"/>
          <w:sz w:val="24"/>
          <w:szCs w:val="24"/>
          <w:lang w:val="en-GB"/>
        </w:rPr>
      </w:pPr>
      <w:bookmarkStart w:id="2" w:name="_Toc140233266"/>
      <w:bookmarkStart w:id="3" w:name="_Toc141265652"/>
      <w:bookmarkStart w:id="4" w:name="_Toc170919468"/>
      <w:bookmarkEnd w:id="2"/>
      <w:bookmarkEnd w:id="3"/>
      <w:r w:rsidRPr="007979AA">
        <w:rPr>
          <w:rFonts w:ascii="Arial" w:hAnsi="Arial" w:cs="Arial"/>
          <w:smallCaps w:val="0"/>
          <w:sz w:val="24"/>
          <w:szCs w:val="24"/>
          <w:lang w:val="en-GB"/>
        </w:rPr>
        <w:t>S</w:t>
      </w:r>
      <w:r w:rsidR="00CD211E" w:rsidRPr="007979AA">
        <w:rPr>
          <w:rFonts w:ascii="Arial" w:hAnsi="Arial" w:cs="Arial"/>
          <w:smallCaps w:val="0"/>
          <w:sz w:val="24"/>
          <w:szCs w:val="24"/>
          <w:lang w:val="en-GB"/>
        </w:rPr>
        <w:t>tatus</w:t>
      </w:r>
      <w:bookmarkEnd w:id="4"/>
    </w:p>
    <w:p w14:paraId="6169E134" w14:textId="77777777" w:rsidR="00CD211E" w:rsidRPr="007979AA" w:rsidRDefault="00CD211E" w:rsidP="00CD211E">
      <w:pPr>
        <w:rPr>
          <w:rFonts w:cstheme="minorHAnsi"/>
        </w:rPr>
      </w:pPr>
    </w:p>
    <w:p w14:paraId="61B1416F" w14:textId="0D256531" w:rsidR="00D6667F" w:rsidRPr="003B4E28" w:rsidRDefault="00D6667F" w:rsidP="00D6667F">
      <w:pPr>
        <w:rPr>
          <w:rFonts w:ascii="Arial" w:hAnsi="Arial" w:cs="Arial"/>
          <w:sz w:val="22"/>
          <w:szCs w:val="22"/>
        </w:rPr>
      </w:pPr>
      <w:r w:rsidRPr="003B4E28">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12" w:history="1">
        <w:r w:rsidRPr="003B4E28">
          <w:rPr>
            <w:rStyle w:val="Hyperlink"/>
            <w:rFonts w:ascii="Arial" w:hAnsi="Arial" w:cs="Arial"/>
            <w:sz w:val="22"/>
            <w:szCs w:val="22"/>
          </w:rPr>
          <w:t>Equality Act 2010</w:t>
        </w:r>
      </w:hyperlink>
      <w:r w:rsidRPr="003B4E28">
        <w:rPr>
          <w:rFonts w:ascii="Arial" w:hAnsi="Arial" w:cs="Arial"/>
          <w:sz w:val="22"/>
          <w:szCs w:val="22"/>
        </w:rPr>
        <w:t>. Consideration has been given to the impact this policy might have regard</w:t>
      </w:r>
      <w:r w:rsidR="007979AA">
        <w:rPr>
          <w:rFonts w:ascii="Arial" w:hAnsi="Arial" w:cs="Arial"/>
          <w:sz w:val="22"/>
          <w:szCs w:val="22"/>
        </w:rPr>
        <w:t>ing</w:t>
      </w:r>
      <w:r w:rsidRPr="003B4E28">
        <w:rPr>
          <w:rFonts w:ascii="Arial" w:hAnsi="Arial" w:cs="Arial"/>
          <w:sz w:val="22"/>
          <w:szCs w:val="22"/>
        </w:rPr>
        <w:t xml:space="preserve"> the individual protected characteristics of those to whom it applies.</w:t>
      </w:r>
    </w:p>
    <w:p w14:paraId="5BE6A90D" w14:textId="77777777" w:rsidR="00D6667F" w:rsidRDefault="00D6667F" w:rsidP="00CD211E">
      <w:pPr>
        <w:rPr>
          <w:rFonts w:ascii="Arial" w:hAnsi="Arial" w:cs="Arial"/>
          <w:sz w:val="22"/>
          <w:szCs w:val="22"/>
        </w:rPr>
      </w:pPr>
    </w:p>
    <w:p w14:paraId="35F18266" w14:textId="615A5782" w:rsidR="00CD211E" w:rsidRPr="007979AA" w:rsidRDefault="00CD211E" w:rsidP="00CD211E">
      <w:pPr>
        <w:rPr>
          <w:rFonts w:ascii="Arial" w:hAnsi="Arial" w:cs="Arial"/>
          <w:sz w:val="22"/>
          <w:szCs w:val="22"/>
        </w:rPr>
      </w:pPr>
      <w:r w:rsidRPr="007979AA">
        <w:rPr>
          <w:rFonts w:ascii="Arial" w:hAnsi="Arial" w:cs="Arial"/>
          <w:sz w:val="22"/>
          <w:szCs w:val="22"/>
        </w:rPr>
        <w:t>This document and any procedures contained within it are non-contractual and may be modi</w:t>
      </w:r>
      <w:r w:rsidR="003E3B00" w:rsidRPr="007979AA">
        <w:rPr>
          <w:rFonts w:ascii="Arial" w:hAnsi="Arial" w:cs="Arial"/>
          <w:sz w:val="22"/>
          <w:szCs w:val="22"/>
        </w:rPr>
        <w:t xml:space="preserve">fied or withdrawn at any time. </w:t>
      </w:r>
      <w:r w:rsidRPr="007979AA">
        <w:rPr>
          <w:rFonts w:ascii="Arial" w:hAnsi="Arial" w:cs="Arial"/>
          <w:sz w:val="22"/>
          <w:szCs w:val="22"/>
        </w:rPr>
        <w:t>For the avoidance of doubt, it does not form part of your contract of employment.</w:t>
      </w:r>
      <w:r w:rsidR="00E70DF9" w:rsidRPr="005C256E">
        <w:rPr>
          <w:rFonts w:ascii="Arial" w:hAnsi="Arial" w:cs="Arial"/>
          <w:sz w:val="22"/>
          <w:szCs w:val="22"/>
        </w:rPr>
        <w:t xml:space="preserve"> Furthermore, this document applies to all employees of the organisation and other individuals performing functions in relation to the organisation such as agency workers, locums and contractors.</w:t>
      </w:r>
    </w:p>
    <w:p w14:paraId="5BF94D17" w14:textId="7D34340E" w:rsidR="00CD211E" w:rsidRPr="005C256E" w:rsidRDefault="00304111" w:rsidP="00CD211E">
      <w:pPr>
        <w:pStyle w:val="Heading1"/>
        <w:keepLines/>
        <w:pBdr>
          <w:bottom w:val="single" w:sz="4" w:space="1" w:color="595959" w:themeColor="text1" w:themeTint="A6"/>
        </w:pBdr>
        <w:spacing w:before="360" w:after="160" w:line="259" w:lineRule="auto"/>
        <w:rPr>
          <w:sz w:val="28"/>
          <w:szCs w:val="28"/>
        </w:rPr>
      </w:pPr>
      <w:bookmarkStart w:id="5" w:name="_Toc140233268"/>
      <w:bookmarkStart w:id="6" w:name="_Toc141265654"/>
      <w:bookmarkStart w:id="7" w:name="_Toc140233269"/>
      <w:bookmarkStart w:id="8" w:name="_Toc141265655"/>
      <w:bookmarkStart w:id="9" w:name="_Toc140233270"/>
      <w:bookmarkStart w:id="10" w:name="_Toc141265656"/>
      <w:bookmarkStart w:id="11" w:name="_Toc140233271"/>
      <w:bookmarkStart w:id="12" w:name="_Toc141265657"/>
      <w:bookmarkStart w:id="13" w:name="_Toc140233272"/>
      <w:bookmarkStart w:id="14" w:name="_Toc141265658"/>
      <w:bookmarkStart w:id="15" w:name="_Toc140233273"/>
      <w:bookmarkStart w:id="16" w:name="_Toc141265659"/>
      <w:bookmarkStart w:id="17" w:name="_Toc140233274"/>
      <w:bookmarkStart w:id="18" w:name="_Toc141265660"/>
      <w:bookmarkStart w:id="19" w:name="_Toc140233275"/>
      <w:bookmarkStart w:id="20" w:name="_Toc141265661"/>
      <w:bookmarkStart w:id="21" w:name="_Toc140233276"/>
      <w:bookmarkStart w:id="22" w:name="_Toc141265662"/>
      <w:bookmarkStart w:id="23" w:name="_Toc140233278"/>
      <w:bookmarkStart w:id="24" w:name="_Toc141265664"/>
      <w:bookmarkStart w:id="25" w:name="_Toc140233280"/>
      <w:bookmarkStart w:id="26" w:name="_Toc141265666"/>
      <w:bookmarkStart w:id="27" w:name="_Toc140233281"/>
      <w:bookmarkStart w:id="28" w:name="_Toc141265667"/>
      <w:bookmarkStart w:id="29" w:name="_Toc140233282"/>
      <w:bookmarkStart w:id="30" w:name="_Toc141265668"/>
      <w:bookmarkStart w:id="31" w:name="_Toc140233283"/>
      <w:bookmarkStart w:id="32" w:name="_Toc141265669"/>
      <w:bookmarkStart w:id="33" w:name="_Toc140233284"/>
      <w:bookmarkStart w:id="34" w:name="_Toc141265670"/>
      <w:bookmarkStart w:id="35" w:name="_Toc140233285"/>
      <w:bookmarkStart w:id="36" w:name="_Toc141265671"/>
      <w:bookmarkStart w:id="37" w:name="_Toc140233286"/>
      <w:bookmarkStart w:id="38" w:name="_Toc141265672"/>
      <w:bookmarkStart w:id="39" w:name="_Toc140233287"/>
      <w:bookmarkStart w:id="40" w:name="_Toc141265673"/>
      <w:bookmarkStart w:id="41" w:name="_Toc140233288"/>
      <w:bookmarkStart w:id="42" w:name="_Toc141265674"/>
      <w:bookmarkStart w:id="43" w:name="_Toc140233289"/>
      <w:bookmarkStart w:id="44" w:name="_Toc141265675"/>
      <w:bookmarkStart w:id="45" w:name="_Toc140233290"/>
      <w:bookmarkStart w:id="46" w:name="_Toc141265676"/>
      <w:bookmarkStart w:id="47" w:name="_Toc140233291"/>
      <w:bookmarkStart w:id="48" w:name="_Toc141265677"/>
      <w:bookmarkStart w:id="49" w:name="_Toc140233292"/>
      <w:bookmarkStart w:id="50" w:name="_Toc141265678"/>
      <w:bookmarkStart w:id="51" w:name="_Toc140233293"/>
      <w:bookmarkStart w:id="52" w:name="_Toc141265679"/>
      <w:bookmarkStart w:id="53" w:name="_Toc140233294"/>
      <w:bookmarkStart w:id="54" w:name="_Toc141265680"/>
      <w:bookmarkStart w:id="55" w:name="_Toc99451698"/>
      <w:bookmarkStart w:id="56" w:name="_Toc140233295"/>
      <w:bookmarkStart w:id="57" w:name="_Toc141265681"/>
      <w:bookmarkStart w:id="58" w:name="_Toc140233296"/>
      <w:bookmarkStart w:id="59" w:name="_Toc141265682"/>
      <w:bookmarkStart w:id="60" w:name="_Toc140233297"/>
      <w:bookmarkStart w:id="61" w:name="_Toc141265683"/>
      <w:bookmarkStart w:id="62" w:name="_Toc140233298"/>
      <w:bookmarkStart w:id="63" w:name="_Toc141265684"/>
      <w:bookmarkStart w:id="64" w:name="_Toc140233299"/>
      <w:bookmarkStart w:id="65" w:name="_Toc141265685"/>
      <w:bookmarkStart w:id="66" w:name="_Toc140233300"/>
      <w:bookmarkStart w:id="67" w:name="_Toc141265686"/>
      <w:bookmarkStart w:id="68" w:name="_Toc140233301"/>
      <w:bookmarkStart w:id="69" w:name="_Toc141265687"/>
      <w:bookmarkStart w:id="70" w:name="_Toc140233302"/>
      <w:bookmarkStart w:id="71" w:name="_Toc141265688"/>
      <w:bookmarkStart w:id="72" w:name="_Toc140233303"/>
      <w:bookmarkStart w:id="73" w:name="_Toc141265689"/>
      <w:bookmarkStart w:id="74" w:name="_Toc170919469"/>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7979AA">
        <w:rPr>
          <w:sz w:val="28"/>
          <w:szCs w:val="28"/>
        </w:rPr>
        <w:t>Assessment</w:t>
      </w:r>
      <w:bookmarkEnd w:id="74"/>
    </w:p>
    <w:p w14:paraId="060F4E31" w14:textId="195EE8E5" w:rsidR="00CD211E" w:rsidRPr="007979AA" w:rsidRDefault="00EC6CE6" w:rsidP="00CD211E">
      <w:pPr>
        <w:pStyle w:val="Heading2"/>
        <w:rPr>
          <w:rFonts w:ascii="Arial" w:hAnsi="Arial" w:cs="Arial"/>
          <w:smallCaps w:val="0"/>
          <w:sz w:val="24"/>
          <w:szCs w:val="24"/>
          <w:lang w:val="en-GB"/>
        </w:rPr>
      </w:pPr>
      <w:bookmarkStart w:id="75" w:name="_Toc170919470"/>
      <w:r>
        <w:rPr>
          <w:rFonts w:ascii="Arial" w:hAnsi="Arial" w:cs="Arial"/>
          <w:smallCaps w:val="0"/>
          <w:sz w:val="24"/>
          <w:szCs w:val="24"/>
          <w:lang w:val="en-GB"/>
        </w:rPr>
        <w:t>Overview</w:t>
      </w:r>
      <w:bookmarkEnd w:id="75"/>
    </w:p>
    <w:p w14:paraId="14375152" w14:textId="77777777" w:rsidR="00CD211E" w:rsidRPr="007979AA" w:rsidRDefault="00CD211E" w:rsidP="00CD211E"/>
    <w:p w14:paraId="0A9C44EE" w14:textId="649E1D0B" w:rsidR="00EC6CE6" w:rsidRDefault="00EC6CE6" w:rsidP="003F5566">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The ability of individuals 16 years of age and older to make their own decisions is protected under the MCA and the </w:t>
      </w:r>
      <w:hyperlink r:id="rId13" w:history="1">
        <w:r w:rsidRPr="00EC6CE6">
          <w:rPr>
            <w:rStyle w:val="Hyperlink"/>
            <w:rFonts w:ascii="Arial" w:hAnsi="Arial" w:cs="Arial"/>
            <w:sz w:val="22"/>
            <w:szCs w:val="22"/>
          </w:rPr>
          <w:t>MCA Code of Practice</w:t>
        </w:r>
      </w:hyperlink>
      <w:r>
        <w:rPr>
          <w:rFonts w:ascii="Arial" w:hAnsi="Arial" w:cs="Arial"/>
          <w:color w:val="000000" w:themeColor="text1"/>
          <w:sz w:val="22"/>
          <w:szCs w:val="22"/>
        </w:rPr>
        <w:t>. The Act enables people aged 1</w:t>
      </w:r>
      <w:r w:rsidR="00E00B2F">
        <w:rPr>
          <w:rFonts w:ascii="Arial" w:hAnsi="Arial" w:cs="Arial"/>
          <w:color w:val="000000" w:themeColor="text1"/>
          <w:sz w:val="22"/>
          <w:szCs w:val="22"/>
        </w:rPr>
        <w:t>6</w:t>
      </w:r>
      <w:r>
        <w:rPr>
          <w:rFonts w:ascii="Arial" w:hAnsi="Arial" w:cs="Arial"/>
          <w:color w:val="000000" w:themeColor="text1"/>
          <w:sz w:val="22"/>
          <w:szCs w:val="22"/>
        </w:rPr>
        <w:t xml:space="preserve"> and over, who have capacity, to plan in advance for a time in the future whe</w:t>
      </w:r>
      <w:r w:rsidR="00C6640A">
        <w:rPr>
          <w:rFonts w:ascii="Arial" w:hAnsi="Arial" w:cs="Arial"/>
          <w:color w:val="000000" w:themeColor="text1"/>
          <w:sz w:val="22"/>
          <w:szCs w:val="22"/>
        </w:rPr>
        <w:t>n</w:t>
      </w:r>
      <w:r>
        <w:rPr>
          <w:rFonts w:ascii="Arial" w:hAnsi="Arial" w:cs="Arial"/>
          <w:color w:val="000000" w:themeColor="text1"/>
          <w:sz w:val="22"/>
          <w:szCs w:val="22"/>
        </w:rPr>
        <w:t xml:space="preserve"> they may lack capacity. </w:t>
      </w:r>
    </w:p>
    <w:p w14:paraId="7F026BDC" w14:textId="77777777" w:rsidR="00E00B2F" w:rsidRDefault="00E00B2F" w:rsidP="003F5566">
      <w:pPr>
        <w:pStyle w:val="NormalWeb"/>
        <w:shd w:val="clear" w:color="auto" w:fill="FFFFFF"/>
        <w:spacing w:before="0" w:beforeAutospacing="0" w:after="0" w:afterAutospacing="0"/>
        <w:rPr>
          <w:rFonts w:ascii="Arial" w:hAnsi="Arial" w:cs="Arial"/>
          <w:color w:val="000000" w:themeColor="text1"/>
          <w:sz w:val="22"/>
          <w:szCs w:val="22"/>
        </w:rPr>
      </w:pPr>
    </w:p>
    <w:p w14:paraId="252ED04D" w14:textId="28E46A83" w:rsidR="00E00B2F" w:rsidRDefault="00E00B2F" w:rsidP="003F5566">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For children aged under 16, the Act does not apply</w:t>
      </w:r>
      <w:r w:rsidR="00C6640A">
        <w:rPr>
          <w:rFonts w:ascii="Arial" w:hAnsi="Arial" w:cs="Arial"/>
          <w:color w:val="000000" w:themeColor="text1"/>
          <w:sz w:val="22"/>
          <w:szCs w:val="22"/>
        </w:rPr>
        <w:t>. H</w:t>
      </w:r>
      <w:r>
        <w:rPr>
          <w:rFonts w:ascii="Arial" w:hAnsi="Arial" w:cs="Arial"/>
          <w:color w:val="000000" w:themeColor="text1"/>
          <w:sz w:val="22"/>
          <w:szCs w:val="22"/>
        </w:rPr>
        <w:t>owever, there are two exceptions:</w:t>
      </w:r>
    </w:p>
    <w:p w14:paraId="2C21C646" w14:textId="77777777" w:rsidR="00E00B2F" w:rsidRDefault="00E00B2F" w:rsidP="003F5566">
      <w:pPr>
        <w:pStyle w:val="NormalWeb"/>
        <w:shd w:val="clear" w:color="auto" w:fill="FFFFFF"/>
        <w:spacing w:before="0" w:beforeAutospacing="0" w:after="0" w:afterAutospacing="0"/>
        <w:rPr>
          <w:rFonts w:ascii="Arial" w:hAnsi="Arial" w:cs="Arial"/>
          <w:color w:val="000000" w:themeColor="text1"/>
          <w:sz w:val="22"/>
          <w:szCs w:val="22"/>
        </w:rPr>
      </w:pPr>
    </w:p>
    <w:p w14:paraId="39A41470" w14:textId="1CF6DC0E" w:rsidR="00E00B2F" w:rsidRDefault="00E00B2F" w:rsidP="00E00B2F">
      <w:pPr>
        <w:pStyle w:val="NormalWeb"/>
        <w:numPr>
          <w:ilvl w:val="0"/>
          <w:numId w:val="43"/>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The Court of Protection can make decisions about a child’s property or finances if the child lacks capacity to make such decisions and is still likely to lack capacity when they reach the age of 18.</w:t>
      </w:r>
    </w:p>
    <w:p w14:paraId="44A19721" w14:textId="1EE292C0" w:rsidR="00E00B2F" w:rsidRDefault="00E00B2F" w:rsidP="00E00B2F">
      <w:pPr>
        <w:pStyle w:val="NormalWeb"/>
        <w:numPr>
          <w:ilvl w:val="0"/>
          <w:numId w:val="43"/>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Offences of ill treatment or wilful neglect of a person who lacks capacity can also apply to victims younger than 16.</w:t>
      </w:r>
    </w:p>
    <w:p w14:paraId="09FE5E25" w14:textId="77777777" w:rsidR="00E00B2F" w:rsidRDefault="00E00B2F" w:rsidP="00E00B2F">
      <w:pPr>
        <w:pStyle w:val="NormalWeb"/>
        <w:shd w:val="clear" w:color="auto" w:fill="FFFFFF"/>
        <w:spacing w:before="0" w:beforeAutospacing="0" w:after="0" w:afterAutospacing="0"/>
        <w:rPr>
          <w:rFonts w:ascii="Arial" w:hAnsi="Arial" w:cs="Arial"/>
          <w:color w:val="000000" w:themeColor="text1"/>
          <w:sz w:val="22"/>
          <w:szCs w:val="22"/>
        </w:rPr>
      </w:pPr>
    </w:p>
    <w:p w14:paraId="6CC9158A" w14:textId="77777777" w:rsidR="00E00B2F" w:rsidRDefault="00E00B2F" w:rsidP="00E00B2F">
      <w:pPr>
        <w:pStyle w:val="NormalWeb"/>
        <w:shd w:val="clear" w:color="auto" w:fill="FFFFFF"/>
        <w:spacing w:before="0" w:beforeAutospacing="0" w:after="0" w:afterAutospacing="0"/>
        <w:rPr>
          <w:rFonts w:ascii="Arial" w:hAnsi="Arial" w:cs="Arial"/>
          <w:color w:val="000000" w:themeColor="text1"/>
          <w:sz w:val="22"/>
          <w:szCs w:val="22"/>
        </w:rPr>
      </w:pPr>
    </w:p>
    <w:p w14:paraId="1A3B04A6" w14:textId="77777777" w:rsidR="00EC6CE6" w:rsidRPr="007979AA" w:rsidRDefault="00EC6CE6" w:rsidP="00EC6CE6">
      <w:pPr>
        <w:pStyle w:val="Heading2"/>
        <w:rPr>
          <w:rFonts w:ascii="Arial" w:hAnsi="Arial" w:cs="Arial"/>
          <w:smallCaps w:val="0"/>
          <w:sz w:val="24"/>
          <w:szCs w:val="24"/>
          <w:lang w:val="en-GB"/>
        </w:rPr>
      </w:pPr>
      <w:bookmarkStart w:id="76" w:name="_Toc170919471"/>
      <w:r>
        <w:rPr>
          <w:rFonts w:ascii="Arial" w:hAnsi="Arial" w:cs="Arial"/>
          <w:smallCaps w:val="0"/>
          <w:sz w:val="24"/>
          <w:szCs w:val="24"/>
          <w:lang w:val="en-GB"/>
        </w:rPr>
        <w:lastRenderedPageBreak/>
        <w:t>Principles</w:t>
      </w:r>
      <w:bookmarkEnd w:id="76"/>
    </w:p>
    <w:p w14:paraId="652E07EE" w14:textId="77777777" w:rsidR="00EC6CE6" w:rsidRPr="007979AA" w:rsidRDefault="00EC6CE6" w:rsidP="00EC6CE6"/>
    <w:p w14:paraId="29FC31C8" w14:textId="1A195B53" w:rsidR="00BA5AAC" w:rsidRPr="005C256E" w:rsidRDefault="00EC6CE6" w:rsidP="003F5566">
      <w:pPr>
        <w:pStyle w:val="NormalWeb"/>
        <w:shd w:val="clear" w:color="auto" w:fill="FFFFFF"/>
        <w:spacing w:before="0" w:beforeAutospacing="0" w:after="0" w:afterAutospacing="0"/>
        <w:rPr>
          <w:rFonts w:ascii="Arial" w:hAnsi="Arial" w:cs="Arial"/>
          <w:color w:val="000000" w:themeColor="text1"/>
          <w:sz w:val="22"/>
          <w:szCs w:val="22"/>
        </w:rPr>
      </w:pPr>
      <w:r w:rsidRPr="005C256E">
        <w:rPr>
          <w:rFonts w:ascii="Arial" w:hAnsi="Arial" w:cs="Arial"/>
          <w:color w:val="000000" w:themeColor="text1"/>
          <w:sz w:val="22"/>
          <w:szCs w:val="22"/>
        </w:rPr>
        <w:t xml:space="preserve">The principles of the </w:t>
      </w:r>
      <w:r>
        <w:rPr>
          <w:rFonts w:ascii="Arial" w:hAnsi="Arial" w:cs="Arial"/>
          <w:color w:val="000000" w:themeColor="text1"/>
          <w:sz w:val="22"/>
          <w:szCs w:val="22"/>
        </w:rPr>
        <w:t>Act</w:t>
      </w:r>
      <w:r w:rsidRPr="005C256E">
        <w:rPr>
          <w:rFonts w:ascii="Arial" w:hAnsi="Arial" w:cs="Arial"/>
          <w:color w:val="000000" w:themeColor="text1"/>
          <w:sz w:val="22"/>
          <w:szCs w:val="22"/>
        </w:rPr>
        <w:t xml:space="preserve"> are</w:t>
      </w:r>
      <w:r>
        <w:rPr>
          <w:rFonts w:ascii="Arial" w:hAnsi="Arial" w:cs="Arial"/>
          <w:color w:val="000000" w:themeColor="text1"/>
          <w:sz w:val="22"/>
          <w:szCs w:val="22"/>
        </w:rPr>
        <w:t xml:space="preserve"> as detailed at Chapter 2 of the </w:t>
      </w:r>
      <w:hyperlink r:id="rId14" w:history="1">
        <w:r w:rsidRPr="00D6667F">
          <w:rPr>
            <w:rStyle w:val="Hyperlink"/>
            <w:rFonts w:ascii="Arial" w:hAnsi="Arial" w:cs="Arial"/>
            <w:sz w:val="22"/>
            <w:szCs w:val="22"/>
          </w:rPr>
          <w:t>Mental Capacity Act Code of Practice</w:t>
        </w:r>
      </w:hyperlink>
      <w:r>
        <w:rPr>
          <w:rFonts w:ascii="Arial" w:hAnsi="Arial" w:cs="Arial"/>
          <w:sz w:val="22"/>
          <w:szCs w:val="22"/>
        </w:rPr>
        <w:t>.</w:t>
      </w:r>
      <w:r>
        <w:rPr>
          <w:rFonts w:ascii="Arial" w:hAnsi="Arial" w:cs="Arial"/>
          <w:color w:val="000000" w:themeColor="text1"/>
          <w:sz w:val="22"/>
          <w:szCs w:val="22"/>
        </w:rPr>
        <w:t xml:space="preserve"> </w:t>
      </w:r>
    </w:p>
    <w:p w14:paraId="574196B4" w14:textId="32AEB2F4" w:rsidR="008C1D45" w:rsidRPr="007979AA" w:rsidRDefault="008C1D45" w:rsidP="008C1D45">
      <w:pPr>
        <w:pStyle w:val="Heading2"/>
        <w:rPr>
          <w:rFonts w:ascii="Arial" w:hAnsi="Arial" w:cs="Arial"/>
          <w:smallCaps w:val="0"/>
          <w:sz w:val="24"/>
          <w:szCs w:val="24"/>
          <w:lang w:val="en-GB"/>
        </w:rPr>
      </w:pPr>
      <w:bookmarkStart w:id="77" w:name="_Toc170919472"/>
      <w:r w:rsidRPr="007979AA">
        <w:rPr>
          <w:rFonts w:ascii="Arial" w:hAnsi="Arial" w:cs="Arial"/>
          <w:smallCaps w:val="0"/>
          <w:sz w:val="24"/>
          <w:szCs w:val="24"/>
          <w:lang w:val="en-GB"/>
        </w:rPr>
        <w:t>Best interests</w:t>
      </w:r>
      <w:bookmarkEnd w:id="77"/>
    </w:p>
    <w:p w14:paraId="73141BBF" w14:textId="657957CF" w:rsidR="008C1D45" w:rsidRPr="007979AA" w:rsidRDefault="008C1D45" w:rsidP="008C1D45"/>
    <w:p w14:paraId="7F7A27FA" w14:textId="5DD6E53A" w:rsidR="00B93366" w:rsidRDefault="00B325DD" w:rsidP="00B93366">
      <w:pPr>
        <w:rPr>
          <w:rFonts w:ascii="Arial" w:hAnsi="Arial" w:cs="Arial"/>
          <w:sz w:val="22"/>
          <w:szCs w:val="22"/>
        </w:rPr>
      </w:pPr>
      <w:r>
        <w:rPr>
          <w:rFonts w:ascii="Arial" w:hAnsi="Arial" w:cs="Arial"/>
          <w:sz w:val="22"/>
          <w:szCs w:val="22"/>
        </w:rPr>
        <w:t xml:space="preserve">The MCA </w:t>
      </w:r>
      <w:hyperlink r:id="rId15" w:history="1">
        <w:r w:rsidRPr="006107A8">
          <w:rPr>
            <w:rStyle w:val="Hyperlink"/>
            <w:rFonts w:ascii="Arial" w:hAnsi="Arial" w:cs="Arial"/>
            <w:sz w:val="22"/>
            <w:szCs w:val="22"/>
          </w:rPr>
          <w:t>Code of Practice</w:t>
        </w:r>
      </w:hyperlink>
      <w:r>
        <w:rPr>
          <w:rFonts w:ascii="Arial" w:hAnsi="Arial" w:cs="Arial"/>
          <w:sz w:val="22"/>
          <w:szCs w:val="22"/>
        </w:rPr>
        <w:t xml:space="preserve"> explains that the term ‘best interests’ is not actually defined in the Act. This is because so many different types of decisions and actions are covered by the Act and so </w:t>
      </w:r>
      <w:r w:rsidR="006107A8">
        <w:rPr>
          <w:rFonts w:ascii="Arial" w:hAnsi="Arial" w:cs="Arial"/>
          <w:sz w:val="22"/>
          <w:szCs w:val="22"/>
        </w:rPr>
        <w:t>many</w:t>
      </w:r>
      <w:r>
        <w:rPr>
          <w:rFonts w:ascii="Arial" w:hAnsi="Arial" w:cs="Arial"/>
          <w:sz w:val="22"/>
          <w:szCs w:val="22"/>
        </w:rPr>
        <w:t xml:space="preserve"> </w:t>
      </w:r>
      <w:r w:rsidR="006107A8">
        <w:rPr>
          <w:rFonts w:ascii="Arial" w:hAnsi="Arial" w:cs="Arial"/>
          <w:sz w:val="22"/>
          <w:szCs w:val="22"/>
        </w:rPr>
        <w:t xml:space="preserve">people and circumstances are affected by it. </w:t>
      </w:r>
    </w:p>
    <w:p w14:paraId="2902F2AA" w14:textId="77777777" w:rsidR="006107A8" w:rsidRDefault="006107A8" w:rsidP="00B93366">
      <w:pPr>
        <w:rPr>
          <w:rFonts w:ascii="Arial" w:hAnsi="Arial" w:cs="Arial"/>
          <w:sz w:val="22"/>
          <w:szCs w:val="22"/>
        </w:rPr>
      </w:pPr>
    </w:p>
    <w:p w14:paraId="11991F17" w14:textId="6795FF21" w:rsidR="006107A8" w:rsidRPr="007979AA" w:rsidRDefault="006107A8" w:rsidP="00B93366">
      <w:pPr>
        <w:rPr>
          <w:rFonts w:ascii="Arial" w:hAnsi="Arial" w:cs="Arial"/>
          <w:sz w:val="22"/>
          <w:szCs w:val="22"/>
        </w:rPr>
      </w:pPr>
      <w:hyperlink r:id="rId16" w:history="1">
        <w:r w:rsidRPr="006107A8">
          <w:rPr>
            <w:rStyle w:val="Hyperlink"/>
            <w:rFonts w:ascii="Arial" w:hAnsi="Arial" w:cs="Arial"/>
            <w:sz w:val="22"/>
            <w:szCs w:val="22"/>
          </w:rPr>
          <w:t>Section 4</w:t>
        </w:r>
      </w:hyperlink>
      <w:r>
        <w:rPr>
          <w:rFonts w:ascii="Arial" w:hAnsi="Arial" w:cs="Arial"/>
          <w:sz w:val="22"/>
          <w:szCs w:val="22"/>
        </w:rPr>
        <w:t xml:space="preserve"> of the Act explains how to work out the best interests of a person who lacks capacity to make a decision at the time it needs to be made. Additional information can be found in the Age UK </w:t>
      </w:r>
      <w:hyperlink r:id="rId17" w:history="1">
        <w:r w:rsidRPr="006107A8">
          <w:rPr>
            <w:rStyle w:val="Hyperlink"/>
            <w:rFonts w:ascii="Arial" w:hAnsi="Arial" w:cs="Arial"/>
            <w:sz w:val="22"/>
            <w:szCs w:val="22"/>
          </w:rPr>
          <w:t>Arranging for someone to make decisions on your behalf</w:t>
        </w:r>
      </w:hyperlink>
      <w:r>
        <w:rPr>
          <w:rFonts w:ascii="Arial" w:hAnsi="Arial" w:cs="Arial"/>
          <w:sz w:val="22"/>
          <w:szCs w:val="22"/>
        </w:rPr>
        <w:t xml:space="preserve"> factsheet.</w:t>
      </w:r>
    </w:p>
    <w:p w14:paraId="1C97D53A" w14:textId="300A0FA8" w:rsidR="006F4433" w:rsidRPr="007979AA" w:rsidRDefault="006F4433" w:rsidP="006F4433">
      <w:pPr>
        <w:pStyle w:val="Heading2"/>
        <w:rPr>
          <w:rFonts w:ascii="Arial" w:hAnsi="Arial" w:cs="Arial"/>
          <w:smallCaps w:val="0"/>
          <w:sz w:val="24"/>
          <w:szCs w:val="24"/>
          <w:lang w:val="en-GB"/>
        </w:rPr>
      </w:pPr>
      <w:bookmarkStart w:id="78" w:name="_Toc140233308"/>
      <w:bookmarkStart w:id="79" w:name="_Toc141265694"/>
      <w:bookmarkStart w:id="80" w:name="_Toc170919473"/>
      <w:bookmarkEnd w:id="78"/>
      <w:bookmarkEnd w:id="79"/>
      <w:r w:rsidRPr="007979AA">
        <w:rPr>
          <w:rFonts w:ascii="Arial" w:hAnsi="Arial" w:cs="Arial"/>
          <w:smallCaps w:val="0"/>
          <w:sz w:val="24"/>
          <w:szCs w:val="24"/>
          <w:lang w:val="en-GB"/>
        </w:rPr>
        <w:t>Deprivation of Liberty Safeguards</w:t>
      </w:r>
      <w:bookmarkEnd w:id="80"/>
    </w:p>
    <w:p w14:paraId="7D581EEE" w14:textId="38A77FE1" w:rsidR="006F4433" w:rsidRPr="007979AA" w:rsidRDefault="006F4433" w:rsidP="006F4433"/>
    <w:p w14:paraId="637DBA95" w14:textId="1824C068" w:rsidR="003521B3" w:rsidRPr="007979AA" w:rsidRDefault="004768BC" w:rsidP="006F4433">
      <w:pPr>
        <w:rPr>
          <w:rFonts w:ascii="Arial" w:hAnsi="Arial" w:cs="Arial"/>
          <w:sz w:val="22"/>
          <w:szCs w:val="22"/>
        </w:rPr>
      </w:pPr>
      <w:hyperlink r:id="rId18" w:history="1">
        <w:r w:rsidRPr="004768BC">
          <w:rPr>
            <w:rStyle w:val="Hyperlink"/>
            <w:rFonts w:ascii="Arial" w:hAnsi="Arial" w:cs="Arial"/>
            <w:sz w:val="22"/>
            <w:szCs w:val="22"/>
          </w:rPr>
          <w:t>Age UK</w:t>
        </w:r>
      </w:hyperlink>
      <w:r>
        <w:rPr>
          <w:rFonts w:ascii="Arial" w:hAnsi="Arial" w:cs="Arial"/>
          <w:sz w:val="22"/>
          <w:szCs w:val="22"/>
        </w:rPr>
        <w:t xml:space="preserve"> explain</w:t>
      </w:r>
      <w:r w:rsidR="00C6640A">
        <w:rPr>
          <w:rFonts w:ascii="Arial" w:hAnsi="Arial" w:cs="Arial"/>
          <w:sz w:val="22"/>
          <w:szCs w:val="22"/>
        </w:rPr>
        <w:t>s</w:t>
      </w:r>
      <w:r>
        <w:rPr>
          <w:rFonts w:ascii="Arial" w:hAnsi="Arial" w:cs="Arial"/>
          <w:sz w:val="22"/>
          <w:szCs w:val="22"/>
        </w:rPr>
        <w:t xml:space="preserve"> that t</w:t>
      </w:r>
      <w:r w:rsidR="006F4433" w:rsidRPr="007979AA">
        <w:rPr>
          <w:rFonts w:ascii="Arial" w:hAnsi="Arial" w:cs="Arial"/>
          <w:sz w:val="22"/>
          <w:szCs w:val="22"/>
        </w:rPr>
        <w:t xml:space="preserve">he </w:t>
      </w:r>
      <w:proofErr w:type="spellStart"/>
      <w:r w:rsidR="006F4433" w:rsidRPr="007979AA">
        <w:rPr>
          <w:rFonts w:ascii="Arial" w:hAnsi="Arial" w:cs="Arial"/>
          <w:sz w:val="22"/>
          <w:szCs w:val="22"/>
        </w:rPr>
        <w:t>DoLS</w:t>
      </w:r>
      <w:proofErr w:type="spellEnd"/>
      <w:r w:rsidR="006F4433" w:rsidRPr="007979AA">
        <w:rPr>
          <w:rFonts w:ascii="Arial" w:hAnsi="Arial" w:cs="Arial"/>
          <w:sz w:val="22"/>
          <w:szCs w:val="22"/>
        </w:rPr>
        <w:t xml:space="preserve"> </w:t>
      </w:r>
      <w:r w:rsidR="003521B3" w:rsidRPr="007979AA">
        <w:rPr>
          <w:rFonts w:ascii="Arial" w:hAnsi="Arial" w:cs="Arial"/>
          <w:sz w:val="22"/>
          <w:szCs w:val="22"/>
        </w:rPr>
        <w:t>procedure is designed to protect an individual’s rights if they are deprived of their liberty in a hospital or care home in England or Wales and they lack mental capacity to consent to being there. If it is assessed that an individual does not have capacity to consent to care or treatment it may be necessary, in the</w:t>
      </w:r>
      <w:r w:rsidR="00903EAA">
        <w:rPr>
          <w:rFonts w:ascii="Arial" w:hAnsi="Arial" w:cs="Arial"/>
          <w:sz w:val="22"/>
          <w:szCs w:val="22"/>
        </w:rPr>
        <w:t>ir</w:t>
      </w:r>
      <w:r w:rsidR="003521B3" w:rsidRPr="007979AA">
        <w:rPr>
          <w:rFonts w:ascii="Arial" w:hAnsi="Arial" w:cs="Arial"/>
          <w:sz w:val="22"/>
          <w:szCs w:val="22"/>
        </w:rPr>
        <w:t xml:space="preserve"> best interest, for other people to decide to place the individual somewhere to receive the required level of care. </w:t>
      </w:r>
    </w:p>
    <w:p w14:paraId="18FAEC7D" w14:textId="6D4F25CA" w:rsidR="003521B3" w:rsidRPr="007979AA" w:rsidRDefault="003521B3" w:rsidP="006F4433">
      <w:pPr>
        <w:rPr>
          <w:rFonts w:ascii="Arial" w:hAnsi="Arial" w:cs="Arial"/>
          <w:sz w:val="22"/>
          <w:szCs w:val="22"/>
        </w:rPr>
      </w:pPr>
    </w:p>
    <w:p w14:paraId="461E0D84" w14:textId="12BF2F47" w:rsidR="00903EAA" w:rsidRDefault="003521B3" w:rsidP="006F4433">
      <w:pPr>
        <w:rPr>
          <w:rFonts w:ascii="Arial" w:hAnsi="Arial" w:cs="Arial"/>
          <w:sz w:val="22"/>
          <w:szCs w:val="22"/>
        </w:rPr>
      </w:pPr>
      <w:r w:rsidRPr="007979AA">
        <w:rPr>
          <w:rFonts w:ascii="Arial" w:hAnsi="Arial" w:cs="Arial"/>
          <w:sz w:val="22"/>
          <w:szCs w:val="22"/>
        </w:rPr>
        <w:t>A deprivation of liberty has three elements</w:t>
      </w:r>
      <w:r w:rsidR="000212DB">
        <w:rPr>
          <w:rFonts w:ascii="Arial" w:hAnsi="Arial" w:cs="Arial"/>
          <w:sz w:val="22"/>
          <w:szCs w:val="22"/>
        </w:rPr>
        <w:t xml:space="preserve"> that healthcare professionals must consider</w:t>
      </w:r>
      <w:r w:rsidRPr="007979AA">
        <w:rPr>
          <w:rFonts w:ascii="Arial" w:hAnsi="Arial" w:cs="Arial"/>
          <w:sz w:val="22"/>
          <w:szCs w:val="22"/>
        </w:rPr>
        <w:t>:</w:t>
      </w:r>
    </w:p>
    <w:p w14:paraId="2A5B215A" w14:textId="77777777" w:rsidR="00903EAA" w:rsidRDefault="00903EAA" w:rsidP="006F4433">
      <w:pPr>
        <w:rPr>
          <w:rFonts w:ascii="Arial" w:hAnsi="Arial" w:cs="Arial"/>
          <w:sz w:val="22"/>
          <w:szCs w:val="22"/>
        </w:rPr>
      </w:pPr>
    </w:p>
    <w:p w14:paraId="16D1FCCA" w14:textId="6BB8FCF8" w:rsidR="00903EAA" w:rsidRDefault="00903EAA" w:rsidP="006F4433">
      <w:pPr>
        <w:pStyle w:val="ListParagraph"/>
        <w:numPr>
          <w:ilvl w:val="0"/>
          <w:numId w:val="39"/>
        </w:numPr>
        <w:rPr>
          <w:rFonts w:ascii="Arial" w:hAnsi="Arial" w:cs="Arial"/>
          <w:sz w:val="22"/>
          <w:szCs w:val="22"/>
        </w:rPr>
      </w:pPr>
      <w:r w:rsidRPr="007979AA">
        <w:rPr>
          <w:rFonts w:ascii="Arial" w:hAnsi="Arial" w:cs="Arial"/>
          <w:sz w:val="22"/>
          <w:szCs w:val="22"/>
        </w:rPr>
        <w:t>Whether it</w:t>
      </w:r>
      <w:r>
        <w:rPr>
          <w:rFonts w:ascii="Arial" w:hAnsi="Arial" w:cs="Arial"/>
          <w:sz w:val="22"/>
          <w:szCs w:val="22"/>
        </w:rPr>
        <w:t xml:space="preserve"> is</w:t>
      </w:r>
      <w:r w:rsidRPr="007979AA">
        <w:rPr>
          <w:rFonts w:ascii="Arial" w:hAnsi="Arial" w:cs="Arial"/>
          <w:sz w:val="22"/>
          <w:szCs w:val="22"/>
        </w:rPr>
        <w:t xml:space="preserve"> in a patient</w:t>
      </w:r>
      <w:r w:rsidR="007979AA">
        <w:rPr>
          <w:rFonts w:ascii="Arial" w:hAnsi="Arial" w:cs="Arial"/>
          <w:sz w:val="22"/>
          <w:szCs w:val="22"/>
        </w:rPr>
        <w:t>’</w:t>
      </w:r>
      <w:r w:rsidRPr="007979AA">
        <w:rPr>
          <w:rFonts w:ascii="Arial" w:hAnsi="Arial" w:cs="Arial"/>
          <w:sz w:val="22"/>
          <w:szCs w:val="22"/>
        </w:rPr>
        <w:t>s best interest to take away their liberty</w:t>
      </w:r>
    </w:p>
    <w:p w14:paraId="68A6CE5E" w14:textId="793035BC" w:rsidR="00903EAA" w:rsidRDefault="00903EAA" w:rsidP="006F4433">
      <w:pPr>
        <w:pStyle w:val="ListParagraph"/>
        <w:numPr>
          <w:ilvl w:val="0"/>
          <w:numId w:val="39"/>
        </w:numPr>
        <w:rPr>
          <w:rFonts w:ascii="Arial" w:hAnsi="Arial" w:cs="Arial"/>
          <w:sz w:val="22"/>
          <w:szCs w:val="22"/>
        </w:rPr>
      </w:pPr>
      <w:r>
        <w:rPr>
          <w:rFonts w:ascii="Arial" w:hAnsi="Arial" w:cs="Arial"/>
          <w:sz w:val="22"/>
          <w:szCs w:val="22"/>
        </w:rPr>
        <w:t xml:space="preserve">Whether it </w:t>
      </w:r>
      <w:r w:rsidR="000212DB">
        <w:rPr>
          <w:rFonts w:ascii="Arial" w:hAnsi="Arial" w:cs="Arial"/>
          <w:sz w:val="22"/>
          <w:szCs w:val="22"/>
        </w:rPr>
        <w:t>has become necessary and unavoidable to take away liberty</w:t>
      </w:r>
    </w:p>
    <w:p w14:paraId="1E8B82AC" w14:textId="1372E18F" w:rsidR="000212DB" w:rsidRPr="007979AA" w:rsidRDefault="000212DB" w:rsidP="007979AA">
      <w:pPr>
        <w:pStyle w:val="ListParagraph"/>
        <w:numPr>
          <w:ilvl w:val="0"/>
          <w:numId w:val="39"/>
        </w:numPr>
        <w:rPr>
          <w:rFonts w:ascii="Arial" w:hAnsi="Arial" w:cs="Arial"/>
          <w:sz w:val="22"/>
          <w:szCs w:val="22"/>
        </w:rPr>
      </w:pPr>
      <w:r>
        <w:rPr>
          <w:rFonts w:ascii="Arial" w:hAnsi="Arial" w:cs="Arial"/>
          <w:sz w:val="22"/>
          <w:szCs w:val="22"/>
        </w:rPr>
        <w:t>Whether the patient is in a care home, hospital or somewhere else noting that a Court of Protection is needed to remove a patient from their home</w:t>
      </w:r>
    </w:p>
    <w:p w14:paraId="31F178E8" w14:textId="3C7F0337" w:rsidR="007574EA" w:rsidRPr="007979AA" w:rsidRDefault="007574EA" w:rsidP="007574EA">
      <w:pPr>
        <w:rPr>
          <w:rFonts w:ascii="Arial" w:hAnsi="Arial" w:cs="Arial"/>
          <w:sz w:val="22"/>
          <w:szCs w:val="22"/>
        </w:rPr>
      </w:pPr>
    </w:p>
    <w:p w14:paraId="7E7639D8" w14:textId="01BEED42" w:rsidR="00946AE2" w:rsidRDefault="004768BC" w:rsidP="007574EA">
      <w:pPr>
        <w:rPr>
          <w:rFonts w:ascii="Arial" w:hAnsi="Arial" w:cs="Arial"/>
          <w:sz w:val="22"/>
          <w:szCs w:val="22"/>
        </w:rPr>
      </w:pPr>
      <w:hyperlink r:id="rId19" w:anchor=".WzC_9C2ZOi5" w:history="1">
        <w:r w:rsidRPr="004768BC">
          <w:rPr>
            <w:rStyle w:val="Hyperlink"/>
            <w:rFonts w:ascii="Arial" w:hAnsi="Arial" w:cs="Arial"/>
            <w:sz w:val="22"/>
            <w:szCs w:val="22"/>
          </w:rPr>
          <w:t>Mind</w:t>
        </w:r>
      </w:hyperlink>
      <w:r>
        <w:rPr>
          <w:rFonts w:ascii="Arial" w:hAnsi="Arial" w:cs="Arial"/>
          <w:sz w:val="22"/>
          <w:szCs w:val="22"/>
        </w:rPr>
        <w:t xml:space="preserve"> provide</w:t>
      </w:r>
      <w:r w:rsidR="00C6640A">
        <w:rPr>
          <w:rFonts w:ascii="Arial" w:hAnsi="Arial" w:cs="Arial"/>
          <w:sz w:val="22"/>
          <w:szCs w:val="22"/>
        </w:rPr>
        <w:t>s</w:t>
      </w:r>
      <w:r>
        <w:rPr>
          <w:rFonts w:ascii="Arial" w:hAnsi="Arial" w:cs="Arial"/>
          <w:sz w:val="22"/>
          <w:szCs w:val="22"/>
        </w:rPr>
        <w:t xml:space="preserve"> addition guidance on </w:t>
      </w:r>
      <w:proofErr w:type="spellStart"/>
      <w:r>
        <w:rPr>
          <w:rFonts w:ascii="Arial" w:hAnsi="Arial" w:cs="Arial"/>
          <w:sz w:val="22"/>
          <w:szCs w:val="22"/>
        </w:rPr>
        <w:t>DoLS</w:t>
      </w:r>
      <w:proofErr w:type="spellEnd"/>
      <w:r>
        <w:rPr>
          <w:rFonts w:ascii="Arial" w:hAnsi="Arial" w:cs="Arial"/>
          <w:sz w:val="22"/>
          <w:szCs w:val="22"/>
        </w:rPr>
        <w:t xml:space="preserve">. </w:t>
      </w:r>
    </w:p>
    <w:p w14:paraId="4690E236" w14:textId="77777777" w:rsidR="00C6640A" w:rsidRDefault="00C6640A" w:rsidP="007574EA">
      <w:pPr>
        <w:rPr>
          <w:rFonts w:ascii="Arial" w:hAnsi="Arial" w:cs="Arial"/>
          <w:sz w:val="22"/>
          <w:szCs w:val="22"/>
        </w:rPr>
      </w:pPr>
    </w:p>
    <w:p w14:paraId="4E843DE8" w14:textId="5C987E4C" w:rsidR="00CD211E" w:rsidRPr="007979AA" w:rsidRDefault="00A53269" w:rsidP="00C6640A">
      <w:pPr>
        <w:pStyle w:val="Heading2"/>
        <w:spacing w:before="0" w:line="240" w:lineRule="auto"/>
        <w:rPr>
          <w:rFonts w:ascii="Arial" w:hAnsi="Arial" w:cs="Arial"/>
          <w:smallCaps w:val="0"/>
          <w:sz w:val="24"/>
          <w:szCs w:val="24"/>
          <w:lang w:val="en-GB"/>
        </w:rPr>
      </w:pPr>
      <w:bookmarkStart w:id="81" w:name="_Toc141265696"/>
      <w:bookmarkStart w:id="82" w:name="_Toc141265697"/>
      <w:bookmarkStart w:id="83" w:name="_Toc141265698"/>
      <w:bookmarkStart w:id="84" w:name="_Toc141265699"/>
      <w:bookmarkStart w:id="85" w:name="_Toc141265700"/>
      <w:bookmarkStart w:id="86" w:name="_Toc141265701"/>
      <w:bookmarkStart w:id="87" w:name="_Toc141265702"/>
      <w:bookmarkStart w:id="88" w:name="_Toc141265703"/>
      <w:bookmarkStart w:id="89" w:name="_Toc141265704"/>
      <w:bookmarkStart w:id="90" w:name="_Toc141265705"/>
      <w:bookmarkStart w:id="91" w:name="_Toc141265706"/>
      <w:bookmarkStart w:id="92" w:name="_Toc141265707"/>
      <w:bookmarkStart w:id="93" w:name="_Toc141265708"/>
      <w:bookmarkStart w:id="94" w:name="_Toc141265709"/>
      <w:bookmarkStart w:id="95" w:name="_Toc141265710"/>
      <w:bookmarkStart w:id="96" w:name="_Toc141265711"/>
      <w:bookmarkStart w:id="97" w:name="_Toc141265712"/>
      <w:bookmarkStart w:id="98" w:name="_Toc141265713"/>
      <w:bookmarkStart w:id="99" w:name="_Toc141265714"/>
      <w:bookmarkStart w:id="100" w:name="_Toc141265715"/>
      <w:bookmarkStart w:id="101" w:name="_Toc141265716"/>
      <w:bookmarkStart w:id="102" w:name="_Toc141265717"/>
      <w:bookmarkStart w:id="103" w:name="_Toc141265718"/>
      <w:bookmarkStart w:id="104" w:name="_Toc141265719"/>
      <w:bookmarkStart w:id="105" w:name="_Toc141265720"/>
      <w:bookmarkStart w:id="106" w:name="_Toc140233310"/>
      <w:bookmarkStart w:id="107" w:name="_Toc141265721"/>
      <w:bookmarkStart w:id="108" w:name="_Toc140233311"/>
      <w:bookmarkStart w:id="109" w:name="_Toc141265722"/>
      <w:bookmarkStart w:id="110" w:name="_Toc140233312"/>
      <w:bookmarkStart w:id="111" w:name="_Toc141265723"/>
      <w:bookmarkStart w:id="112" w:name="_Toc140233313"/>
      <w:bookmarkStart w:id="113" w:name="_Toc141265724"/>
      <w:bookmarkStart w:id="114" w:name="_Toc140233314"/>
      <w:bookmarkStart w:id="115" w:name="_Toc141265725"/>
      <w:bookmarkStart w:id="116" w:name="_Toc140233315"/>
      <w:bookmarkStart w:id="117" w:name="_Toc141265726"/>
      <w:bookmarkStart w:id="118" w:name="_Toc140233316"/>
      <w:bookmarkStart w:id="119" w:name="_Toc141265727"/>
      <w:bookmarkStart w:id="120" w:name="_Toc140233317"/>
      <w:bookmarkStart w:id="121" w:name="_Toc141265728"/>
      <w:bookmarkStart w:id="122" w:name="_Toc140233318"/>
      <w:bookmarkStart w:id="123" w:name="_Toc141265729"/>
      <w:bookmarkStart w:id="124" w:name="_Toc170919474"/>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7979AA">
        <w:rPr>
          <w:rFonts w:ascii="Arial" w:hAnsi="Arial" w:cs="Arial"/>
          <w:smallCaps w:val="0"/>
          <w:sz w:val="24"/>
          <w:szCs w:val="24"/>
          <w:lang w:val="en-GB"/>
        </w:rPr>
        <w:t>Assessing capacity</w:t>
      </w:r>
      <w:bookmarkEnd w:id="124"/>
    </w:p>
    <w:p w14:paraId="3C08CF54" w14:textId="52392439" w:rsidR="008C11B9" w:rsidRPr="00C6640A" w:rsidRDefault="008C11B9" w:rsidP="00C6640A">
      <w:pPr>
        <w:pStyle w:val="NormalWeb"/>
        <w:shd w:val="clear" w:color="auto" w:fill="FFFFFF"/>
        <w:spacing w:before="0" w:beforeAutospacing="0" w:after="0" w:afterAutospacing="0"/>
        <w:rPr>
          <w:rFonts w:ascii="Arial" w:hAnsi="Arial" w:cs="Arial"/>
          <w:color w:val="000000" w:themeColor="text1"/>
          <w:sz w:val="14"/>
          <w:szCs w:val="22"/>
        </w:rPr>
      </w:pPr>
    </w:p>
    <w:p w14:paraId="5971BD3E" w14:textId="5D708D49" w:rsidR="00274D7F" w:rsidRPr="005C256E" w:rsidRDefault="00274D7F" w:rsidP="00C6640A">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Clinicians at this organisation are to </w:t>
      </w:r>
      <w:r w:rsidR="00301DE7">
        <w:rPr>
          <w:rFonts w:ascii="Arial" w:hAnsi="Arial" w:cs="Arial"/>
          <w:color w:val="000000" w:themeColor="text1"/>
          <w:sz w:val="22"/>
          <w:szCs w:val="22"/>
        </w:rPr>
        <w:t xml:space="preserve">conduct an assessment of mental capacity in accordance with </w:t>
      </w:r>
      <w:hyperlink r:id="rId20" w:anchor="assessment-of-mental-capacity" w:history="1">
        <w:r w:rsidR="00301DE7" w:rsidRPr="00301DE7">
          <w:rPr>
            <w:rStyle w:val="Hyperlink"/>
            <w:rFonts w:ascii="Arial" w:hAnsi="Arial" w:cs="Arial"/>
            <w:sz w:val="22"/>
            <w:szCs w:val="22"/>
          </w:rPr>
          <w:t>NICE guideline [NG108]</w:t>
        </w:r>
      </w:hyperlink>
      <w:r w:rsidR="00301DE7">
        <w:rPr>
          <w:rFonts w:ascii="Arial" w:hAnsi="Arial" w:cs="Arial"/>
          <w:color w:val="000000" w:themeColor="text1"/>
          <w:sz w:val="22"/>
          <w:szCs w:val="22"/>
        </w:rPr>
        <w:t xml:space="preserve"> and the MCA 2005.  </w:t>
      </w:r>
    </w:p>
    <w:p w14:paraId="5321677C" w14:textId="3892316C" w:rsidR="00D26395" w:rsidRPr="007979AA" w:rsidRDefault="00D26395" w:rsidP="00D26395">
      <w:pPr>
        <w:pStyle w:val="Heading2"/>
        <w:rPr>
          <w:rFonts w:ascii="Arial" w:hAnsi="Arial" w:cs="Arial"/>
          <w:smallCaps w:val="0"/>
          <w:sz w:val="24"/>
          <w:szCs w:val="24"/>
          <w:lang w:val="en-GB"/>
        </w:rPr>
      </w:pPr>
      <w:bookmarkStart w:id="125" w:name="_Toc170919475"/>
      <w:r w:rsidRPr="007979AA">
        <w:rPr>
          <w:rFonts w:ascii="Arial" w:hAnsi="Arial" w:cs="Arial"/>
          <w:smallCaps w:val="0"/>
          <w:sz w:val="24"/>
          <w:szCs w:val="24"/>
          <w:lang w:val="en-GB"/>
        </w:rPr>
        <w:t>Fluctuating capacity</w:t>
      </w:r>
      <w:bookmarkEnd w:id="125"/>
      <w:r w:rsidRPr="007979AA">
        <w:rPr>
          <w:rFonts w:ascii="Arial" w:hAnsi="Arial" w:cs="Arial"/>
          <w:smallCaps w:val="0"/>
          <w:sz w:val="24"/>
          <w:szCs w:val="24"/>
          <w:lang w:val="en-GB"/>
        </w:rPr>
        <w:t xml:space="preserve"> </w:t>
      </w:r>
    </w:p>
    <w:p w14:paraId="634E5B7B" w14:textId="2E249339" w:rsidR="00D26395" w:rsidRPr="005C256E" w:rsidRDefault="00D26395" w:rsidP="000E4406">
      <w:pPr>
        <w:pStyle w:val="NormalWeb"/>
        <w:shd w:val="clear" w:color="auto" w:fill="FFFFFF"/>
        <w:spacing w:before="0" w:beforeAutospacing="0" w:after="0" w:afterAutospacing="0"/>
        <w:rPr>
          <w:rFonts w:ascii="Arial" w:hAnsi="Arial" w:cs="Arial"/>
          <w:color w:val="000000" w:themeColor="text1"/>
          <w:sz w:val="22"/>
          <w:szCs w:val="22"/>
        </w:rPr>
      </w:pPr>
    </w:p>
    <w:p w14:paraId="2685A01D" w14:textId="06C4F4A1" w:rsidR="00DE75EB" w:rsidRPr="005C256E" w:rsidRDefault="00D26395" w:rsidP="000E4406">
      <w:pPr>
        <w:pStyle w:val="NormalWeb"/>
        <w:shd w:val="clear" w:color="auto" w:fill="FFFFFF"/>
        <w:spacing w:before="0" w:beforeAutospacing="0" w:after="0" w:afterAutospacing="0"/>
        <w:rPr>
          <w:rFonts w:ascii="Arial" w:hAnsi="Arial" w:cs="Arial"/>
          <w:sz w:val="22"/>
          <w:szCs w:val="22"/>
        </w:rPr>
      </w:pPr>
      <w:r w:rsidRPr="005C256E">
        <w:rPr>
          <w:rFonts w:ascii="Arial" w:hAnsi="Arial" w:cs="Arial"/>
          <w:sz w:val="22"/>
          <w:szCs w:val="22"/>
        </w:rPr>
        <w:t xml:space="preserve">Staff are to be aware that some patients may have fluctuating capacity; that </w:t>
      </w:r>
      <w:r w:rsidR="0027296F" w:rsidRPr="005C256E">
        <w:rPr>
          <w:rFonts w:ascii="Arial" w:hAnsi="Arial" w:cs="Arial"/>
          <w:sz w:val="22"/>
          <w:szCs w:val="22"/>
        </w:rPr>
        <w:t>is,</w:t>
      </w:r>
      <w:r w:rsidRPr="005C256E">
        <w:rPr>
          <w:rFonts w:ascii="Arial" w:hAnsi="Arial" w:cs="Arial"/>
          <w:sz w:val="22"/>
          <w:szCs w:val="22"/>
        </w:rPr>
        <w:t xml:space="preserve"> they have a problem or condition that gets worse occasionally and affects their ability to make decisions. For example, a patient with a psychotic illness may have delusions that affect their capacity to make decisions at certain times but </w:t>
      </w:r>
      <w:r w:rsidR="0068714A" w:rsidRPr="005C256E">
        <w:rPr>
          <w:rFonts w:ascii="Arial" w:hAnsi="Arial" w:cs="Arial"/>
          <w:sz w:val="22"/>
          <w:szCs w:val="22"/>
        </w:rPr>
        <w:t xml:space="preserve">that </w:t>
      </w:r>
      <w:r w:rsidRPr="005C256E">
        <w:rPr>
          <w:rFonts w:ascii="Arial" w:hAnsi="Arial" w:cs="Arial"/>
          <w:sz w:val="22"/>
          <w:szCs w:val="22"/>
        </w:rPr>
        <w:t xml:space="preserve">disappear at others. </w:t>
      </w:r>
    </w:p>
    <w:p w14:paraId="3F47B2CB" w14:textId="77777777" w:rsidR="00DE75EB" w:rsidRPr="005C256E" w:rsidRDefault="00DE75EB" w:rsidP="000E4406">
      <w:pPr>
        <w:pStyle w:val="NormalWeb"/>
        <w:shd w:val="clear" w:color="auto" w:fill="FFFFFF"/>
        <w:spacing w:before="0" w:beforeAutospacing="0" w:after="0" w:afterAutospacing="0"/>
        <w:rPr>
          <w:rFonts w:ascii="Arial" w:hAnsi="Arial" w:cs="Arial"/>
          <w:sz w:val="22"/>
          <w:szCs w:val="22"/>
        </w:rPr>
      </w:pPr>
    </w:p>
    <w:p w14:paraId="4C30CE18" w14:textId="6F5C341A" w:rsidR="00D26395" w:rsidRDefault="00D26395" w:rsidP="000E4406">
      <w:pPr>
        <w:pStyle w:val="NormalWeb"/>
        <w:shd w:val="clear" w:color="auto" w:fill="FFFFFF"/>
        <w:spacing w:before="0" w:beforeAutospacing="0" w:after="0" w:afterAutospacing="0"/>
        <w:rPr>
          <w:rFonts w:ascii="Arial" w:hAnsi="Arial" w:cs="Arial"/>
          <w:sz w:val="22"/>
          <w:szCs w:val="22"/>
        </w:rPr>
      </w:pPr>
      <w:r w:rsidRPr="005C256E">
        <w:rPr>
          <w:rFonts w:ascii="Arial" w:hAnsi="Arial" w:cs="Arial"/>
          <w:sz w:val="22"/>
          <w:szCs w:val="22"/>
        </w:rPr>
        <w:t>Temporary factors affecting capacity can include but are not limited to acute illness, severe pain, medication effects, distress and shock.</w:t>
      </w:r>
    </w:p>
    <w:p w14:paraId="3BD83B12" w14:textId="77777777" w:rsidR="00274D7F" w:rsidRDefault="00274D7F" w:rsidP="000E4406">
      <w:pPr>
        <w:pStyle w:val="NormalWeb"/>
        <w:shd w:val="clear" w:color="auto" w:fill="FFFFFF"/>
        <w:spacing w:before="0" w:beforeAutospacing="0" w:after="0" w:afterAutospacing="0"/>
        <w:rPr>
          <w:rFonts w:ascii="Arial" w:hAnsi="Arial" w:cs="Arial"/>
          <w:sz w:val="22"/>
          <w:szCs w:val="22"/>
        </w:rPr>
      </w:pPr>
    </w:p>
    <w:p w14:paraId="6296D8A7" w14:textId="77777777" w:rsidR="00274D7F" w:rsidRPr="005C256E" w:rsidRDefault="00274D7F" w:rsidP="000E4406">
      <w:pPr>
        <w:pStyle w:val="NormalWeb"/>
        <w:shd w:val="clear" w:color="auto" w:fill="FFFFFF"/>
        <w:spacing w:before="0" w:beforeAutospacing="0" w:after="0" w:afterAutospacing="0"/>
        <w:rPr>
          <w:rFonts w:ascii="Arial" w:hAnsi="Arial" w:cs="Arial"/>
          <w:sz w:val="22"/>
          <w:szCs w:val="22"/>
        </w:rPr>
      </w:pPr>
    </w:p>
    <w:p w14:paraId="065FDB9D" w14:textId="44F73D5D" w:rsidR="003F5566" w:rsidRPr="007979AA" w:rsidRDefault="008C11B9" w:rsidP="003F5566">
      <w:pPr>
        <w:pStyle w:val="Heading2"/>
        <w:rPr>
          <w:rFonts w:ascii="Arial" w:hAnsi="Arial" w:cs="Arial"/>
          <w:smallCaps w:val="0"/>
          <w:sz w:val="24"/>
          <w:szCs w:val="24"/>
          <w:lang w:val="en-GB"/>
        </w:rPr>
      </w:pPr>
      <w:bookmarkStart w:id="126" w:name="_Lack_of_capacity"/>
      <w:bookmarkStart w:id="127" w:name="_Toc170919476"/>
      <w:bookmarkEnd w:id="126"/>
      <w:r w:rsidRPr="007979AA">
        <w:rPr>
          <w:rFonts w:ascii="Arial" w:hAnsi="Arial" w:cs="Arial"/>
          <w:smallCaps w:val="0"/>
          <w:sz w:val="24"/>
          <w:szCs w:val="24"/>
          <w:lang w:val="en-GB"/>
        </w:rPr>
        <w:t>Lack of c</w:t>
      </w:r>
      <w:r w:rsidR="003F5566" w:rsidRPr="007979AA">
        <w:rPr>
          <w:rFonts w:ascii="Arial" w:hAnsi="Arial" w:cs="Arial"/>
          <w:smallCaps w:val="0"/>
          <w:sz w:val="24"/>
          <w:szCs w:val="24"/>
          <w:lang w:val="en-GB"/>
        </w:rPr>
        <w:t>apacity</w:t>
      </w:r>
      <w:bookmarkEnd w:id="127"/>
    </w:p>
    <w:p w14:paraId="6962AC5D" w14:textId="77777777" w:rsidR="005B4DCB" w:rsidRPr="005C256E" w:rsidRDefault="005B4DCB" w:rsidP="005B4DCB">
      <w:pPr>
        <w:rPr>
          <w:rFonts w:ascii="Arial" w:hAnsi="Arial" w:cs="Arial"/>
          <w:color w:val="000000" w:themeColor="text1"/>
          <w:sz w:val="22"/>
          <w:szCs w:val="22"/>
        </w:rPr>
      </w:pPr>
    </w:p>
    <w:p w14:paraId="2AA7A223" w14:textId="3F42FDF8" w:rsidR="00274D7F" w:rsidRDefault="00274D7F" w:rsidP="00274D7F">
      <w:pPr>
        <w:rPr>
          <w:rFonts w:ascii="Arial" w:hAnsi="Arial" w:cs="Arial"/>
          <w:color w:val="000000" w:themeColor="text1"/>
          <w:sz w:val="22"/>
          <w:szCs w:val="22"/>
        </w:rPr>
      </w:pPr>
      <w:hyperlink r:id="rId21" w:anchor="assessment-of-mental-capacity" w:history="1">
        <w:r w:rsidRPr="00274D7F">
          <w:rPr>
            <w:rStyle w:val="Hyperlink"/>
            <w:rFonts w:ascii="Arial" w:hAnsi="Arial" w:cs="Arial"/>
            <w:sz w:val="22"/>
            <w:szCs w:val="22"/>
          </w:rPr>
          <w:t>NICE guideline [NG108]</w:t>
        </w:r>
      </w:hyperlink>
      <w:r>
        <w:rPr>
          <w:rFonts w:ascii="Arial" w:hAnsi="Arial" w:cs="Arial"/>
          <w:color w:val="000000" w:themeColor="text1"/>
          <w:sz w:val="22"/>
          <w:szCs w:val="22"/>
        </w:rPr>
        <w:t xml:space="preserve"> explains that clinicians involved in making decisions regarding individuals who lack capacity or</w:t>
      </w:r>
      <w:r w:rsidR="00C6640A">
        <w:rPr>
          <w:rFonts w:ascii="Arial" w:hAnsi="Arial" w:cs="Arial"/>
          <w:color w:val="000000" w:themeColor="text1"/>
          <w:sz w:val="22"/>
          <w:szCs w:val="22"/>
        </w:rPr>
        <w:t xml:space="preserve"> who</w:t>
      </w:r>
      <w:r>
        <w:rPr>
          <w:rFonts w:ascii="Arial" w:hAnsi="Arial" w:cs="Arial"/>
          <w:color w:val="000000" w:themeColor="text1"/>
          <w:sz w:val="22"/>
          <w:szCs w:val="22"/>
        </w:rPr>
        <w:t xml:space="preserve"> support decision-making in individuals who have capacity must follow the five key principles set out in </w:t>
      </w:r>
      <w:hyperlink r:id="rId22" w:history="1">
        <w:r w:rsidRPr="00274D7F">
          <w:rPr>
            <w:rStyle w:val="Hyperlink"/>
            <w:rFonts w:ascii="Arial" w:hAnsi="Arial" w:cs="Arial"/>
            <w:sz w:val="22"/>
            <w:szCs w:val="22"/>
          </w:rPr>
          <w:t>Section 1 of the MCA 2005</w:t>
        </w:r>
      </w:hyperlink>
      <w:r>
        <w:rPr>
          <w:rFonts w:ascii="Arial" w:hAnsi="Arial" w:cs="Arial"/>
          <w:color w:val="000000" w:themeColor="text1"/>
          <w:sz w:val="22"/>
          <w:szCs w:val="22"/>
        </w:rPr>
        <w:t xml:space="preserve">. </w:t>
      </w:r>
    </w:p>
    <w:p w14:paraId="7C03DE78" w14:textId="77777777" w:rsidR="00274D7F" w:rsidRDefault="00274D7F" w:rsidP="00274D7F">
      <w:pPr>
        <w:rPr>
          <w:rFonts w:ascii="Arial" w:hAnsi="Arial" w:cs="Arial"/>
          <w:color w:val="000000" w:themeColor="text1"/>
          <w:sz w:val="22"/>
          <w:szCs w:val="22"/>
        </w:rPr>
      </w:pPr>
    </w:p>
    <w:p w14:paraId="3B7AA5EB" w14:textId="77777777" w:rsidR="00274D7F" w:rsidRDefault="00274D7F" w:rsidP="00274D7F">
      <w:pPr>
        <w:rPr>
          <w:rFonts w:ascii="Arial" w:hAnsi="Arial" w:cs="Arial"/>
          <w:color w:val="000000" w:themeColor="text1"/>
          <w:sz w:val="22"/>
          <w:szCs w:val="22"/>
        </w:rPr>
      </w:pPr>
      <w:r>
        <w:rPr>
          <w:rFonts w:ascii="Arial" w:hAnsi="Arial" w:cs="Arial"/>
          <w:color w:val="000000" w:themeColor="text1"/>
          <w:sz w:val="22"/>
          <w:szCs w:val="22"/>
        </w:rPr>
        <w:t xml:space="preserve">Clinicians must assume capacity unless there is evidence to suggest an assessment is required. A person is not to be treated as unable to make a decision (lacks capacity) unless all practicable steps to help them do so have been taken without success. </w:t>
      </w:r>
    </w:p>
    <w:p w14:paraId="6B3BF9D1" w14:textId="77777777" w:rsidR="00274D7F" w:rsidRDefault="00274D7F" w:rsidP="00274D7F">
      <w:pPr>
        <w:rPr>
          <w:rFonts w:ascii="Arial" w:hAnsi="Arial" w:cs="Arial"/>
          <w:color w:val="000000" w:themeColor="text1"/>
          <w:sz w:val="22"/>
          <w:szCs w:val="22"/>
        </w:rPr>
      </w:pPr>
    </w:p>
    <w:p w14:paraId="76EBB1C5" w14:textId="0815F075" w:rsidR="00274D7F" w:rsidRPr="00274D7F" w:rsidRDefault="00274D7F" w:rsidP="00274D7F">
      <w:pPr>
        <w:rPr>
          <w:rFonts w:ascii="Arial" w:hAnsi="Arial" w:cs="Arial"/>
          <w:color w:val="000000" w:themeColor="text1"/>
          <w:sz w:val="22"/>
          <w:szCs w:val="22"/>
        </w:rPr>
      </w:pPr>
      <w:r>
        <w:rPr>
          <w:rFonts w:ascii="Arial" w:hAnsi="Arial" w:cs="Arial"/>
          <w:color w:val="000000" w:themeColor="text1"/>
          <w:sz w:val="22"/>
          <w:szCs w:val="22"/>
        </w:rPr>
        <w:t xml:space="preserve">All clinicians at this organisation must adhere to the above linked guidance. </w:t>
      </w:r>
    </w:p>
    <w:p w14:paraId="5B2021DA" w14:textId="483F38CE" w:rsidR="0010700A" w:rsidRPr="007979AA" w:rsidRDefault="005330B0" w:rsidP="0010700A">
      <w:pPr>
        <w:pStyle w:val="Heading2"/>
        <w:rPr>
          <w:rFonts w:ascii="Arial" w:hAnsi="Arial" w:cs="Arial"/>
          <w:smallCaps w:val="0"/>
          <w:sz w:val="24"/>
          <w:szCs w:val="24"/>
          <w:lang w:val="en-GB"/>
        </w:rPr>
      </w:pPr>
      <w:bookmarkStart w:id="128" w:name="_Toc170919477"/>
      <w:r w:rsidRPr="007979AA">
        <w:rPr>
          <w:rFonts w:ascii="Arial" w:hAnsi="Arial" w:cs="Arial"/>
          <w:smallCaps w:val="0"/>
          <w:sz w:val="24"/>
          <w:szCs w:val="24"/>
          <w:lang w:val="en-GB"/>
        </w:rPr>
        <w:t>Independent Mental Capacity Advocates (IMCA)</w:t>
      </w:r>
      <w:bookmarkEnd w:id="128"/>
      <w:r w:rsidR="00F836A6" w:rsidRPr="007979AA">
        <w:rPr>
          <w:rFonts w:ascii="Arial" w:hAnsi="Arial" w:cs="Arial"/>
          <w:sz w:val="22"/>
          <w:szCs w:val="22"/>
          <w:vertAlign w:val="superscript"/>
          <w:lang w:val="en-GB"/>
        </w:rPr>
        <w:t xml:space="preserve"> </w:t>
      </w:r>
    </w:p>
    <w:p w14:paraId="70A57899" w14:textId="6B73A2D8" w:rsidR="00301DE7" w:rsidRDefault="00301DE7" w:rsidP="00956BA3">
      <w:pPr>
        <w:pStyle w:val="NormalWeb"/>
        <w:rPr>
          <w:rFonts w:ascii="Arial" w:hAnsi="Arial" w:cs="Arial"/>
          <w:sz w:val="22"/>
          <w:szCs w:val="22"/>
        </w:rPr>
      </w:pPr>
      <w:hyperlink r:id="rId23" w:history="1">
        <w:r w:rsidRPr="00301DE7">
          <w:rPr>
            <w:rStyle w:val="Hyperlink"/>
            <w:rFonts w:ascii="Arial" w:hAnsi="Arial" w:cs="Arial"/>
            <w:sz w:val="22"/>
            <w:szCs w:val="22"/>
          </w:rPr>
          <w:t>GOV.UK</w:t>
        </w:r>
      </w:hyperlink>
      <w:r>
        <w:rPr>
          <w:rFonts w:ascii="Arial" w:hAnsi="Arial" w:cs="Arial"/>
          <w:sz w:val="22"/>
          <w:szCs w:val="22"/>
        </w:rPr>
        <w:t xml:space="preserve"> explains that </w:t>
      </w:r>
      <w:r w:rsidR="00C6640A">
        <w:rPr>
          <w:rFonts w:ascii="Arial" w:hAnsi="Arial" w:cs="Arial"/>
          <w:sz w:val="22"/>
          <w:szCs w:val="22"/>
        </w:rPr>
        <w:t xml:space="preserve">the </w:t>
      </w:r>
      <w:r>
        <w:rPr>
          <w:rFonts w:ascii="Arial" w:hAnsi="Arial" w:cs="Arial"/>
          <w:sz w:val="22"/>
          <w:szCs w:val="22"/>
        </w:rPr>
        <w:t>Independent Mental Capacity Advocate (IMCA) service support</w:t>
      </w:r>
      <w:r w:rsidR="00C6640A">
        <w:rPr>
          <w:rFonts w:ascii="Arial" w:hAnsi="Arial" w:cs="Arial"/>
          <w:sz w:val="22"/>
          <w:szCs w:val="22"/>
        </w:rPr>
        <w:t>s</w:t>
      </w:r>
      <w:r>
        <w:rPr>
          <w:rFonts w:ascii="Arial" w:hAnsi="Arial" w:cs="Arial"/>
          <w:sz w:val="22"/>
          <w:szCs w:val="22"/>
        </w:rPr>
        <w:t xml:space="preserve"> people who can</w:t>
      </w:r>
      <w:r w:rsidR="00C6640A">
        <w:rPr>
          <w:rFonts w:ascii="Arial" w:hAnsi="Arial" w:cs="Arial"/>
          <w:sz w:val="22"/>
          <w:szCs w:val="22"/>
        </w:rPr>
        <w:t>no</w:t>
      </w:r>
      <w:r>
        <w:rPr>
          <w:rFonts w:ascii="Arial" w:hAnsi="Arial" w:cs="Arial"/>
          <w:sz w:val="22"/>
          <w:szCs w:val="22"/>
        </w:rPr>
        <w:t>t make or understand decisions by stating their views and wishe</w:t>
      </w:r>
      <w:r w:rsidR="00C6640A">
        <w:rPr>
          <w:rFonts w:ascii="Arial" w:hAnsi="Arial" w:cs="Arial"/>
          <w:sz w:val="22"/>
          <w:szCs w:val="22"/>
        </w:rPr>
        <w:t>s</w:t>
      </w:r>
      <w:r>
        <w:rPr>
          <w:rFonts w:ascii="Arial" w:hAnsi="Arial" w:cs="Arial"/>
          <w:sz w:val="22"/>
          <w:szCs w:val="22"/>
        </w:rPr>
        <w:t xml:space="preserve"> or securing their rights. </w:t>
      </w:r>
    </w:p>
    <w:p w14:paraId="559F5C74" w14:textId="2D5038F5" w:rsidR="00EF1E13" w:rsidRPr="005C256E" w:rsidRDefault="00AB0810" w:rsidP="00956BA3">
      <w:pPr>
        <w:pStyle w:val="NormalWeb"/>
        <w:rPr>
          <w:rFonts w:ascii="Arial" w:hAnsi="Arial" w:cs="Arial"/>
          <w:sz w:val="22"/>
          <w:szCs w:val="22"/>
        </w:rPr>
      </w:pPr>
      <w:r w:rsidRPr="005C256E">
        <w:rPr>
          <w:rFonts w:ascii="Arial" w:hAnsi="Arial" w:cs="Arial"/>
          <w:sz w:val="22"/>
          <w:szCs w:val="22"/>
        </w:rPr>
        <w:t xml:space="preserve">An IMCA must be instructed and subsequently consulted for those patients who lack </w:t>
      </w:r>
      <w:r w:rsidR="00BB7627" w:rsidRPr="005C256E">
        <w:rPr>
          <w:rFonts w:ascii="Arial" w:hAnsi="Arial" w:cs="Arial"/>
          <w:sz w:val="22"/>
          <w:szCs w:val="22"/>
        </w:rPr>
        <w:t>capacity</w:t>
      </w:r>
      <w:r w:rsidRPr="005C256E">
        <w:rPr>
          <w:rFonts w:ascii="Arial" w:hAnsi="Arial" w:cs="Arial"/>
          <w:sz w:val="22"/>
          <w:szCs w:val="22"/>
        </w:rPr>
        <w:t xml:space="preserve"> and have no support network in the circumstances</w:t>
      </w:r>
      <w:r w:rsidR="000212DB">
        <w:rPr>
          <w:rFonts w:ascii="Arial" w:hAnsi="Arial" w:cs="Arial"/>
          <w:sz w:val="22"/>
          <w:szCs w:val="22"/>
        </w:rPr>
        <w:t xml:space="preserve"> a</w:t>
      </w:r>
      <w:r w:rsidR="0017511D">
        <w:rPr>
          <w:rFonts w:ascii="Arial" w:hAnsi="Arial" w:cs="Arial"/>
          <w:sz w:val="22"/>
          <w:szCs w:val="22"/>
        </w:rPr>
        <w:t>s</w:t>
      </w:r>
      <w:r w:rsidR="000212DB">
        <w:rPr>
          <w:rFonts w:ascii="Arial" w:hAnsi="Arial" w:cs="Arial"/>
          <w:sz w:val="22"/>
          <w:szCs w:val="22"/>
        </w:rPr>
        <w:t xml:space="preserve"> detailed in Chapter 10 of the </w:t>
      </w:r>
      <w:hyperlink r:id="rId24" w:history="1">
        <w:r w:rsidR="000212DB" w:rsidRPr="000212DB">
          <w:rPr>
            <w:rStyle w:val="Hyperlink"/>
            <w:rFonts w:ascii="Arial" w:hAnsi="Arial" w:cs="Arial"/>
            <w:sz w:val="22"/>
            <w:szCs w:val="22"/>
          </w:rPr>
          <w:t>Code of Practice</w:t>
        </w:r>
      </w:hyperlink>
      <w:r w:rsidR="000212DB">
        <w:rPr>
          <w:rFonts w:ascii="Arial" w:hAnsi="Arial" w:cs="Arial"/>
          <w:sz w:val="22"/>
          <w:szCs w:val="22"/>
        </w:rPr>
        <w:t>.</w:t>
      </w:r>
    </w:p>
    <w:p w14:paraId="683FA35E" w14:textId="121A3140" w:rsidR="00F836A6" w:rsidRPr="005C256E" w:rsidRDefault="00F836A6" w:rsidP="00F836A6">
      <w:pPr>
        <w:pStyle w:val="NormalWeb"/>
        <w:rPr>
          <w:rFonts w:ascii="Arial" w:hAnsi="Arial" w:cs="Arial"/>
          <w:sz w:val="22"/>
          <w:szCs w:val="22"/>
        </w:rPr>
      </w:pPr>
      <w:r w:rsidRPr="005C256E">
        <w:rPr>
          <w:rFonts w:ascii="Arial" w:hAnsi="Arial" w:cs="Arial"/>
          <w:sz w:val="22"/>
          <w:szCs w:val="22"/>
        </w:rPr>
        <w:t>An IMCA may also be instructed to support someone who lacks capacity to make decisions concerning care reviews (whe</w:t>
      </w:r>
      <w:r w:rsidR="00646BA7">
        <w:rPr>
          <w:rFonts w:ascii="Arial" w:hAnsi="Arial" w:cs="Arial"/>
          <w:sz w:val="22"/>
          <w:szCs w:val="22"/>
        </w:rPr>
        <w:t>n</w:t>
      </w:r>
      <w:r w:rsidRPr="005C256E">
        <w:rPr>
          <w:rFonts w:ascii="Arial" w:hAnsi="Arial" w:cs="Arial"/>
          <w:sz w:val="22"/>
          <w:szCs w:val="22"/>
        </w:rPr>
        <w:t xml:space="preserve"> no-one else is available to be consulted) and adult protection cases (whether or not family, friends or others are involved). </w:t>
      </w:r>
    </w:p>
    <w:p w14:paraId="10848407" w14:textId="4DF990FB" w:rsidR="00D26395" w:rsidRDefault="00D26395" w:rsidP="00F836A6">
      <w:pPr>
        <w:pStyle w:val="NormalWeb"/>
        <w:rPr>
          <w:rFonts w:ascii="Arial" w:hAnsi="Arial" w:cs="Arial"/>
          <w:sz w:val="22"/>
          <w:szCs w:val="22"/>
        </w:rPr>
      </w:pPr>
      <w:r w:rsidRPr="005C256E">
        <w:rPr>
          <w:rFonts w:ascii="Arial" w:hAnsi="Arial" w:cs="Arial"/>
          <w:sz w:val="22"/>
          <w:szCs w:val="22"/>
        </w:rPr>
        <w:t>As the IMCA’s role is to support and represent the individual lacking capacity,</w:t>
      </w:r>
      <w:r w:rsidR="00646BA7">
        <w:rPr>
          <w:rFonts w:ascii="Arial" w:hAnsi="Arial" w:cs="Arial"/>
          <w:sz w:val="22"/>
          <w:szCs w:val="22"/>
        </w:rPr>
        <w:t xml:space="preserve"> they have</w:t>
      </w:r>
      <w:r w:rsidR="007979AA">
        <w:rPr>
          <w:rFonts w:ascii="Arial" w:hAnsi="Arial" w:cs="Arial"/>
          <w:sz w:val="22"/>
          <w:szCs w:val="22"/>
        </w:rPr>
        <w:t xml:space="preserve"> </w:t>
      </w:r>
      <w:r w:rsidRPr="005C256E">
        <w:rPr>
          <w:rFonts w:ascii="Arial" w:hAnsi="Arial" w:cs="Arial"/>
          <w:sz w:val="22"/>
          <w:szCs w:val="22"/>
        </w:rPr>
        <w:t>the right to see the relevant healthcare and social care records.</w:t>
      </w:r>
    </w:p>
    <w:p w14:paraId="0236FC20" w14:textId="5A304B31" w:rsidR="0017511D" w:rsidRPr="005C256E" w:rsidRDefault="0017511D" w:rsidP="00F836A6">
      <w:pPr>
        <w:pStyle w:val="NormalWeb"/>
        <w:rPr>
          <w:rFonts w:ascii="Arial" w:hAnsi="Arial" w:cs="Arial"/>
          <w:sz w:val="22"/>
          <w:szCs w:val="22"/>
        </w:rPr>
      </w:pPr>
      <w:hyperlink r:id="rId25" w:history="1">
        <w:r w:rsidRPr="0017511D">
          <w:rPr>
            <w:rStyle w:val="Hyperlink"/>
            <w:rFonts w:ascii="Arial" w:hAnsi="Arial" w:cs="Arial"/>
            <w:sz w:val="22"/>
            <w:szCs w:val="22"/>
          </w:rPr>
          <w:t>Mind</w:t>
        </w:r>
      </w:hyperlink>
      <w:r>
        <w:rPr>
          <w:rFonts w:ascii="Arial" w:hAnsi="Arial" w:cs="Arial"/>
          <w:sz w:val="22"/>
          <w:szCs w:val="22"/>
        </w:rPr>
        <w:t xml:space="preserve"> provides links to IMCAs and advocacy groups and organisations</w:t>
      </w:r>
      <w:r w:rsidRPr="005C256E">
        <w:rPr>
          <w:rFonts w:ascii="Arial" w:hAnsi="Arial" w:cs="Arial"/>
          <w:sz w:val="22"/>
          <w:szCs w:val="22"/>
        </w:rPr>
        <w:t>.</w:t>
      </w:r>
      <w:r>
        <w:rPr>
          <w:rFonts w:ascii="Arial" w:hAnsi="Arial" w:cs="Arial"/>
          <w:sz w:val="22"/>
          <w:szCs w:val="22"/>
        </w:rPr>
        <w:t xml:space="preserve"> </w:t>
      </w:r>
    </w:p>
    <w:p w14:paraId="3CB54EC2" w14:textId="38C66783" w:rsidR="005B4DCB" w:rsidRPr="005C256E" w:rsidRDefault="0020084E" w:rsidP="005B4DCB">
      <w:pPr>
        <w:pStyle w:val="Heading1"/>
        <w:keepLines/>
        <w:pBdr>
          <w:bottom w:val="single" w:sz="4" w:space="1" w:color="595959" w:themeColor="text1" w:themeTint="A6"/>
        </w:pBdr>
        <w:spacing w:before="360" w:after="160" w:line="259" w:lineRule="auto"/>
        <w:rPr>
          <w:sz w:val="28"/>
          <w:szCs w:val="28"/>
        </w:rPr>
      </w:pPr>
      <w:bookmarkStart w:id="129" w:name="_Toc170919478"/>
      <w:r w:rsidRPr="005C256E">
        <w:rPr>
          <w:sz w:val="28"/>
          <w:szCs w:val="28"/>
        </w:rPr>
        <w:t>Useful terminology</w:t>
      </w:r>
      <w:bookmarkEnd w:id="129"/>
    </w:p>
    <w:p w14:paraId="44536633" w14:textId="648F73BA" w:rsidR="005B4DCB" w:rsidRPr="009C31D1" w:rsidRDefault="005B4DCB" w:rsidP="005B4DCB">
      <w:pPr>
        <w:pStyle w:val="Heading2"/>
        <w:rPr>
          <w:rFonts w:ascii="Arial" w:hAnsi="Arial" w:cs="Arial"/>
          <w:smallCaps w:val="0"/>
          <w:sz w:val="24"/>
          <w:szCs w:val="24"/>
          <w:lang w:val="en-GB"/>
        </w:rPr>
      </w:pPr>
      <w:bookmarkStart w:id="130" w:name="_Toc170919479"/>
      <w:r w:rsidRPr="009C31D1">
        <w:rPr>
          <w:rFonts w:ascii="Arial" w:hAnsi="Arial" w:cs="Arial"/>
          <w:smallCaps w:val="0"/>
          <w:sz w:val="24"/>
          <w:szCs w:val="24"/>
          <w:lang w:val="en-GB"/>
        </w:rPr>
        <w:t>Advance decisions</w:t>
      </w:r>
      <w:bookmarkEnd w:id="130"/>
    </w:p>
    <w:p w14:paraId="1B5463A5" w14:textId="6FD99534" w:rsidR="005B4DCB" w:rsidRPr="009C31D1" w:rsidRDefault="005B4DCB" w:rsidP="005B4DCB"/>
    <w:p w14:paraId="093DDAF0" w14:textId="0F7B71FC" w:rsidR="0020084E" w:rsidRPr="009C31D1" w:rsidRDefault="0020084E" w:rsidP="005B4DCB">
      <w:pPr>
        <w:rPr>
          <w:rFonts w:ascii="Arial" w:hAnsi="Arial" w:cs="Arial"/>
          <w:sz w:val="22"/>
          <w:szCs w:val="22"/>
        </w:rPr>
      </w:pPr>
      <w:r w:rsidRPr="009C31D1">
        <w:rPr>
          <w:rFonts w:ascii="Arial" w:hAnsi="Arial" w:cs="Arial"/>
          <w:sz w:val="22"/>
          <w:szCs w:val="22"/>
        </w:rPr>
        <w:t>An</w:t>
      </w:r>
      <w:r w:rsidR="00784AC3">
        <w:rPr>
          <w:rFonts w:ascii="Arial" w:hAnsi="Arial" w:cs="Arial"/>
          <w:sz w:val="22"/>
          <w:szCs w:val="22"/>
        </w:rPr>
        <w:t xml:space="preserve"> </w:t>
      </w:r>
      <w:hyperlink r:id="rId26" w:history="1">
        <w:r w:rsidR="00784AC3" w:rsidRPr="00784AC3">
          <w:rPr>
            <w:rStyle w:val="Hyperlink"/>
            <w:rFonts w:ascii="Arial" w:hAnsi="Arial" w:cs="Arial"/>
            <w:sz w:val="22"/>
            <w:szCs w:val="22"/>
          </w:rPr>
          <w:t>advanced decision</w:t>
        </w:r>
      </w:hyperlink>
      <w:r w:rsidRPr="009C31D1">
        <w:rPr>
          <w:rFonts w:ascii="Arial" w:hAnsi="Arial" w:cs="Arial"/>
          <w:sz w:val="22"/>
          <w:szCs w:val="22"/>
        </w:rPr>
        <w:t xml:space="preserve"> (sometimes known as an advance decision to refuse treatment, an ADRT or living will) is a decision made by the patient to refu</w:t>
      </w:r>
      <w:r w:rsidR="00AE5B91" w:rsidRPr="009C31D1">
        <w:rPr>
          <w:rFonts w:ascii="Arial" w:hAnsi="Arial" w:cs="Arial"/>
          <w:sz w:val="22"/>
          <w:szCs w:val="22"/>
        </w:rPr>
        <w:t>s</w:t>
      </w:r>
      <w:r w:rsidRPr="009C31D1">
        <w:rPr>
          <w:rFonts w:ascii="Arial" w:hAnsi="Arial" w:cs="Arial"/>
          <w:sz w:val="22"/>
          <w:szCs w:val="22"/>
        </w:rPr>
        <w:t>e certain treatment types in the future should they lose the capacity to make such deci</w:t>
      </w:r>
      <w:r w:rsidR="0068714A" w:rsidRPr="009C31D1">
        <w:rPr>
          <w:rFonts w:ascii="Arial" w:hAnsi="Arial" w:cs="Arial"/>
          <w:sz w:val="22"/>
          <w:szCs w:val="22"/>
        </w:rPr>
        <w:t>si</w:t>
      </w:r>
      <w:r w:rsidRPr="009C31D1">
        <w:rPr>
          <w:rFonts w:ascii="Arial" w:hAnsi="Arial" w:cs="Arial"/>
          <w:sz w:val="22"/>
          <w:szCs w:val="22"/>
        </w:rPr>
        <w:t>ons at a later date.</w:t>
      </w:r>
      <w:r w:rsidR="004130C5">
        <w:rPr>
          <w:rFonts w:ascii="Arial" w:hAnsi="Arial" w:cs="Arial"/>
          <w:sz w:val="22"/>
          <w:szCs w:val="22"/>
        </w:rPr>
        <w:t xml:space="preserve"> </w:t>
      </w:r>
      <w:r w:rsidRPr="009C31D1">
        <w:rPr>
          <w:rFonts w:ascii="Arial" w:hAnsi="Arial" w:cs="Arial"/>
          <w:sz w:val="22"/>
          <w:szCs w:val="22"/>
        </w:rPr>
        <w:t>The patient must specify which treatments they are refusing in the advance decision.</w:t>
      </w:r>
    </w:p>
    <w:p w14:paraId="11A486F1" w14:textId="5464A6BB" w:rsidR="0020084E" w:rsidRPr="009C31D1" w:rsidRDefault="0020084E" w:rsidP="0020084E">
      <w:pPr>
        <w:pStyle w:val="Heading2"/>
        <w:rPr>
          <w:rFonts w:ascii="Arial" w:hAnsi="Arial" w:cs="Arial"/>
          <w:smallCaps w:val="0"/>
          <w:sz w:val="24"/>
          <w:szCs w:val="24"/>
          <w:lang w:val="en-GB"/>
        </w:rPr>
      </w:pPr>
      <w:bookmarkStart w:id="131" w:name="_Toc170919480"/>
      <w:r w:rsidRPr="009C31D1">
        <w:rPr>
          <w:rFonts w:ascii="Arial" w:hAnsi="Arial" w:cs="Arial"/>
          <w:smallCaps w:val="0"/>
          <w:sz w:val="24"/>
          <w:szCs w:val="24"/>
          <w:lang w:val="en-GB"/>
        </w:rPr>
        <w:t>Advance stateme</w:t>
      </w:r>
      <w:r w:rsidR="00946AE2">
        <w:rPr>
          <w:rFonts w:ascii="Arial" w:hAnsi="Arial" w:cs="Arial"/>
          <w:smallCaps w:val="0"/>
          <w:sz w:val="24"/>
          <w:szCs w:val="24"/>
          <w:lang w:val="en-GB"/>
        </w:rPr>
        <w:t>nt</w:t>
      </w:r>
      <w:bookmarkEnd w:id="131"/>
    </w:p>
    <w:p w14:paraId="085D587C" w14:textId="12E38E27" w:rsidR="005B4DCB" w:rsidRPr="005C256E" w:rsidRDefault="0020084E" w:rsidP="005B2549">
      <w:pPr>
        <w:pStyle w:val="NormalWeb"/>
        <w:rPr>
          <w:rFonts w:ascii="Arial" w:hAnsi="Arial" w:cs="Arial"/>
          <w:sz w:val="22"/>
          <w:szCs w:val="22"/>
        </w:rPr>
      </w:pPr>
      <w:r w:rsidRPr="005C256E">
        <w:rPr>
          <w:rFonts w:ascii="Arial" w:hAnsi="Arial" w:cs="Arial"/>
          <w:sz w:val="22"/>
          <w:szCs w:val="22"/>
        </w:rPr>
        <w:t xml:space="preserve">An </w:t>
      </w:r>
      <w:hyperlink r:id="rId27" w:history="1">
        <w:r w:rsidRPr="00946AE2">
          <w:rPr>
            <w:rStyle w:val="Hyperlink"/>
            <w:rFonts w:ascii="Arial" w:hAnsi="Arial" w:cs="Arial"/>
            <w:sz w:val="22"/>
            <w:szCs w:val="22"/>
          </w:rPr>
          <w:t>advance statement</w:t>
        </w:r>
      </w:hyperlink>
      <w:r w:rsidRPr="005C256E">
        <w:rPr>
          <w:rFonts w:ascii="Arial" w:hAnsi="Arial" w:cs="Arial"/>
          <w:sz w:val="22"/>
          <w:szCs w:val="22"/>
        </w:rPr>
        <w:t xml:space="preserve"> is a written statement that set</w:t>
      </w:r>
      <w:r w:rsidR="00AE5B91" w:rsidRPr="005C256E">
        <w:rPr>
          <w:rFonts w:ascii="Arial" w:hAnsi="Arial" w:cs="Arial"/>
          <w:sz w:val="22"/>
          <w:szCs w:val="22"/>
        </w:rPr>
        <w:t>s</w:t>
      </w:r>
      <w:r w:rsidRPr="005C256E">
        <w:rPr>
          <w:rFonts w:ascii="Arial" w:hAnsi="Arial" w:cs="Arial"/>
          <w:sz w:val="22"/>
          <w:szCs w:val="22"/>
        </w:rPr>
        <w:t xml:space="preserve"> down</w:t>
      </w:r>
      <w:r w:rsidR="00AE5B91" w:rsidRPr="005C256E">
        <w:rPr>
          <w:rFonts w:ascii="Arial" w:hAnsi="Arial" w:cs="Arial"/>
          <w:sz w:val="22"/>
          <w:szCs w:val="22"/>
        </w:rPr>
        <w:t xml:space="preserve"> the preferences, wishes, belief</w:t>
      </w:r>
      <w:r w:rsidRPr="005C256E">
        <w:rPr>
          <w:rFonts w:ascii="Arial" w:hAnsi="Arial" w:cs="Arial"/>
          <w:sz w:val="22"/>
          <w:szCs w:val="22"/>
        </w:rPr>
        <w:t>s and values regarding t</w:t>
      </w:r>
      <w:r w:rsidR="000623EB" w:rsidRPr="005C256E">
        <w:rPr>
          <w:rFonts w:ascii="Arial" w:hAnsi="Arial" w:cs="Arial"/>
          <w:sz w:val="22"/>
          <w:szCs w:val="22"/>
        </w:rPr>
        <w:t>he future care of the patient, t</w:t>
      </w:r>
      <w:r w:rsidRPr="005C256E">
        <w:rPr>
          <w:rFonts w:ascii="Arial" w:hAnsi="Arial" w:cs="Arial"/>
          <w:sz w:val="22"/>
          <w:szCs w:val="22"/>
        </w:rPr>
        <w:t xml:space="preserve">he purpose of which is to provide a guide to those who may have to make decisions on behalf of the patient (in their best interest) if the patient has lost the capacity to make or communicate said decisions.  </w:t>
      </w:r>
    </w:p>
    <w:p w14:paraId="7E5F12D3" w14:textId="13374F27" w:rsidR="0020084E" w:rsidRPr="009C31D1" w:rsidRDefault="00796F90" w:rsidP="0020084E">
      <w:pPr>
        <w:pStyle w:val="Heading2"/>
        <w:rPr>
          <w:rFonts w:ascii="Arial" w:hAnsi="Arial" w:cs="Arial"/>
          <w:smallCaps w:val="0"/>
          <w:sz w:val="24"/>
          <w:szCs w:val="24"/>
          <w:lang w:val="en-GB"/>
        </w:rPr>
      </w:pPr>
      <w:bookmarkStart w:id="132" w:name="_Toc170919481"/>
      <w:r w:rsidRPr="009C31D1">
        <w:rPr>
          <w:rFonts w:ascii="Arial" w:hAnsi="Arial" w:cs="Arial"/>
          <w:smallCaps w:val="0"/>
          <w:sz w:val="24"/>
          <w:szCs w:val="24"/>
          <w:lang w:val="en-GB"/>
        </w:rPr>
        <w:t>P</w:t>
      </w:r>
      <w:r w:rsidR="0020084E" w:rsidRPr="009C31D1">
        <w:rPr>
          <w:rFonts w:ascii="Arial" w:hAnsi="Arial" w:cs="Arial"/>
          <w:smallCaps w:val="0"/>
          <w:sz w:val="24"/>
          <w:szCs w:val="24"/>
          <w:lang w:val="en-GB"/>
        </w:rPr>
        <w:t>ower of attorney</w:t>
      </w:r>
      <w:bookmarkEnd w:id="132"/>
    </w:p>
    <w:p w14:paraId="26567491" w14:textId="05B29B5F" w:rsidR="00C63A21" w:rsidRPr="009C31D1" w:rsidRDefault="00796F90" w:rsidP="005B2549">
      <w:pPr>
        <w:pStyle w:val="NormalWeb"/>
        <w:rPr>
          <w:rFonts w:ascii="Arial" w:hAnsi="Arial" w:cs="Arial"/>
          <w:sz w:val="22"/>
          <w:szCs w:val="22"/>
          <w:lang w:eastAsia="en-US"/>
        </w:rPr>
      </w:pPr>
      <w:r w:rsidRPr="009C31D1">
        <w:rPr>
          <w:rFonts w:ascii="Arial" w:hAnsi="Arial" w:cs="Arial"/>
          <w:sz w:val="22"/>
          <w:szCs w:val="22"/>
          <w:lang w:eastAsia="en-US"/>
        </w:rPr>
        <w:t>The following are types of</w:t>
      </w:r>
      <w:r w:rsidR="00784AC3">
        <w:rPr>
          <w:rFonts w:ascii="Arial" w:hAnsi="Arial" w:cs="Arial"/>
          <w:sz w:val="22"/>
          <w:szCs w:val="22"/>
          <w:lang w:eastAsia="en-US"/>
        </w:rPr>
        <w:t xml:space="preserve"> </w:t>
      </w:r>
      <w:hyperlink r:id="rId28" w:history="1">
        <w:r w:rsidR="00784AC3" w:rsidRPr="00784AC3">
          <w:rPr>
            <w:rStyle w:val="Hyperlink"/>
            <w:rFonts w:ascii="Arial" w:hAnsi="Arial" w:cs="Arial"/>
            <w:sz w:val="22"/>
            <w:szCs w:val="22"/>
            <w:lang w:eastAsia="en-US"/>
          </w:rPr>
          <w:t>power of attorney</w:t>
        </w:r>
      </w:hyperlink>
      <w:r w:rsidR="00784AC3">
        <w:rPr>
          <w:rFonts w:ascii="Arial" w:hAnsi="Arial" w:cs="Arial"/>
          <w:sz w:val="22"/>
          <w:szCs w:val="22"/>
          <w:lang w:eastAsia="en-US"/>
        </w:rPr>
        <w:t>:</w:t>
      </w:r>
    </w:p>
    <w:p w14:paraId="29558D5F" w14:textId="7B4CF60F" w:rsidR="00796F90" w:rsidRPr="009C31D1" w:rsidRDefault="00796F90" w:rsidP="00796F90">
      <w:pPr>
        <w:pStyle w:val="NormalWeb"/>
        <w:numPr>
          <w:ilvl w:val="0"/>
          <w:numId w:val="30"/>
        </w:numPr>
        <w:rPr>
          <w:rFonts w:ascii="Arial" w:hAnsi="Arial" w:cs="Arial"/>
          <w:sz w:val="22"/>
          <w:szCs w:val="22"/>
          <w:lang w:eastAsia="en-US"/>
        </w:rPr>
      </w:pPr>
      <w:r w:rsidRPr="009C31D1">
        <w:rPr>
          <w:rFonts w:ascii="Arial" w:hAnsi="Arial" w:cs="Arial"/>
          <w:sz w:val="22"/>
          <w:szCs w:val="22"/>
          <w:lang w:eastAsia="en-US"/>
        </w:rPr>
        <w:t>Lasting power of attorney</w:t>
      </w:r>
    </w:p>
    <w:p w14:paraId="33A41D95" w14:textId="0BD3B05A" w:rsidR="00796F90" w:rsidRPr="009C31D1" w:rsidRDefault="00796F90" w:rsidP="00796F90">
      <w:pPr>
        <w:pStyle w:val="NormalWeb"/>
        <w:numPr>
          <w:ilvl w:val="0"/>
          <w:numId w:val="30"/>
        </w:numPr>
        <w:rPr>
          <w:rFonts w:ascii="Arial" w:hAnsi="Arial" w:cs="Arial"/>
          <w:sz w:val="22"/>
          <w:szCs w:val="22"/>
          <w:lang w:eastAsia="en-US"/>
        </w:rPr>
      </w:pPr>
      <w:r w:rsidRPr="009C31D1">
        <w:rPr>
          <w:rFonts w:ascii="Arial" w:hAnsi="Arial" w:cs="Arial"/>
          <w:sz w:val="22"/>
          <w:szCs w:val="22"/>
          <w:lang w:eastAsia="en-US"/>
        </w:rPr>
        <w:t>Enduring power of attorney</w:t>
      </w:r>
    </w:p>
    <w:p w14:paraId="511A10D0" w14:textId="7A3BD4F5" w:rsidR="00946AE2" w:rsidRPr="005C256E" w:rsidRDefault="00796F90" w:rsidP="005B2549">
      <w:pPr>
        <w:pStyle w:val="NormalWeb"/>
        <w:rPr>
          <w:rFonts w:ascii="Arial" w:hAnsi="Arial" w:cs="Arial"/>
          <w:sz w:val="22"/>
          <w:szCs w:val="22"/>
        </w:rPr>
      </w:pPr>
      <w:r w:rsidRPr="005C256E">
        <w:rPr>
          <w:rFonts w:ascii="Arial" w:hAnsi="Arial" w:cs="Arial"/>
          <w:sz w:val="22"/>
          <w:szCs w:val="22"/>
        </w:rPr>
        <w:t xml:space="preserve">The lasting power of attorney covers personal welfare, </w:t>
      </w:r>
      <w:r w:rsidR="009D03A9" w:rsidRPr="005C256E">
        <w:rPr>
          <w:rFonts w:ascii="Arial" w:hAnsi="Arial" w:cs="Arial"/>
          <w:sz w:val="22"/>
          <w:szCs w:val="22"/>
        </w:rPr>
        <w:t>property and financial affairs w</w:t>
      </w:r>
      <w:r w:rsidRPr="005C256E">
        <w:rPr>
          <w:rFonts w:ascii="Arial" w:hAnsi="Arial" w:cs="Arial"/>
          <w:sz w:val="22"/>
          <w:szCs w:val="22"/>
        </w:rPr>
        <w:t xml:space="preserve">hereas the enduring power of attorney only deals with property and financial </w:t>
      </w:r>
      <w:r w:rsidR="00F41714" w:rsidRPr="005C256E">
        <w:rPr>
          <w:rFonts w:ascii="Arial" w:hAnsi="Arial" w:cs="Arial"/>
          <w:sz w:val="22"/>
          <w:szCs w:val="22"/>
        </w:rPr>
        <w:t>affairs</w:t>
      </w:r>
      <w:r w:rsidR="00F41714">
        <w:rPr>
          <w:rFonts w:ascii="Arial" w:hAnsi="Arial" w:cs="Arial"/>
          <w:sz w:val="22"/>
          <w:szCs w:val="22"/>
        </w:rPr>
        <w:t>.</w:t>
      </w:r>
    </w:p>
    <w:p w14:paraId="1A36BBF8" w14:textId="589B4A55" w:rsidR="00585580" w:rsidRPr="009C31D1" w:rsidRDefault="00585580" w:rsidP="00585580">
      <w:pPr>
        <w:pStyle w:val="Heading2"/>
        <w:rPr>
          <w:rFonts w:ascii="Arial" w:hAnsi="Arial" w:cs="Arial"/>
          <w:smallCaps w:val="0"/>
          <w:sz w:val="24"/>
          <w:szCs w:val="24"/>
          <w:lang w:val="en-GB"/>
        </w:rPr>
      </w:pPr>
      <w:bookmarkStart w:id="133" w:name="_Toc140233328"/>
      <w:bookmarkStart w:id="134" w:name="_Toc141265739"/>
      <w:bookmarkStart w:id="135" w:name="_Toc170919482"/>
      <w:bookmarkEnd w:id="133"/>
      <w:bookmarkEnd w:id="134"/>
      <w:r w:rsidRPr="009C31D1">
        <w:rPr>
          <w:rFonts w:ascii="Arial" w:hAnsi="Arial" w:cs="Arial"/>
          <w:smallCaps w:val="0"/>
          <w:sz w:val="24"/>
          <w:szCs w:val="24"/>
          <w:lang w:val="en-GB"/>
        </w:rPr>
        <w:t>Court of Protection</w:t>
      </w:r>
      <w:bookmarkEnd w:id="135"/>
    </w:p>
    <w:p w14:paraId="50401873" w14:textId="262DAEB0" w:rsidR="006C5FAD" w:rsidRDefault="00585580" w:rsidP="005B2549">
      <w:pPr>
        <w:pStyle w:val="NormalWeb"/>
        <w:rPr>
          <w:rFonts w:ascii="Arial" w:hAnsi="Arial" w:cs="Arial"/>
          <w:sz w:val="22"/>
          <w:szCs w:val="22"/>
        </w:rPr>
      </w:pPr>
      <w:r w:rsidRPr="005C256E">
        <w:rPr>
          <w:rFonts w:ascii="Arial" w:hAnsi="Arial" w:cs="Arial"/>
          <w:sz w:val="22"/>
          <w:szCs w:val="22"/>
        </w:rPr>
        <w:t>The court has the power to make</w:t>
      </w:r>
      <w:r w:rsidR="009D03A9" w:rsidRPr="005C256E">
        <w:rPr>
          <w:rFonts w:ascii="Arial" w:hAnsi="Arial" w:cs="Arial"/>
          <w:sz w:val="22"/>
          <w:szCs w:val="22"/>
        </w:rPr>
        <w:t xml:space="preserve"> a declaration about whether an</w:t>
      </w:r>
      <w:r w:rsidRPr="005C256E">
        <w:rPr>
          <w:rFonts w:ascii="Arial" w:hAnsi="Arial" w:cs="Arial"/>
          <w:sz w:val="22"/>
          <w:szCs w:val="22"/>
        </w:rPr>
        <w:t xml:space="preserve"> adult (or a child in some cases) has or lacks capacity, and to appoint a deputy to make a decision on behalf</w:t>
      </w:r>
      <w:r w:rsidR="009D03A9" w:rsidRPr="005C256E">
        <w:rPr>
          <w:rFonts w:ascii="Arial" w:hAnsi="Arial" w:cs="Arial"/>
          <w:sz w:val="22"/>
          <w:szCs w:val="22"/>
        </w:rPr>
        <w:t xml:space="preserve"> of a person lacking capacity. </w:t>
      </w:r>
    </w:p>
    <w:p w14:paraId="6E3D6A2F" w14:textId="77777777" w:rsidR="00DE75EB" w:rsidRPr="005C256E" w:rsidRDefault="00DE75EB">
      <w:pPr>
        <w:rPr>
          <w:rFonts w:ascii="Arial" w:hAnsi="Arial" w:cs="Arial"/>
          <w:sz w:val="22"/>
          <w:szCs w:val="22"/>
        </w:rPr>
      </w:pPr>
    </w:p>
    <w:p w14:paraId="433CDAE5" w14:textId="77777777" w:rsidR="00C65464" w:rsidRPr="005C256E" w:rsidRDefault="00C65464">
      <w:pPr>
        <w:rPr>
          <w:rFonts w:ascii="Arial" w:hAnsi="Arial" w:cs="Arial"/>
          <w:sz w:val="22"/>
          <w:szCs w:val="22"/>
        </w:rPr>
      </w:pPr>
    </w:p>
    <w:p w14:paraId="1A8045A4" w14:textId="77777777" w:rsidR="00956BA3" w:rsidRPr="005C256E" w:rsidRDefault="00956BA3" w:rsidP="00956BA3">
      <w:pPr>
        <w:pStyle w:val="NormalWeb"/>
        <w:rPr>
          <w:rFonts w:asciiTheme="minorHAnsi" w:hAnsiTheme="minorHAnsi"/>
          <w:b/>
        </w:rPr>
      </w:pPr>
    </w:p>
    <w:p w14:paraId="65DDFD8C" w14:textId="77777777" w:rsidR="001B2025" w:rsidRPr="005C256E" w:rsidRDefault="001B2025" w:rsidP="001B2025">
      <w:pPr>
        <w:pStyle w:val="NormalWeb"/>
        <w:rPr>
          <w:rFonts w:ascii="Arial" w:hAnsi="Arial" w:cs="Arial"/>
        </w:rPr>
      </w:pPr>
    </w:p>
    <w:sectPr w:rsidR="001B2025" w:rsidRPr="005C256E" w:rsidSect="003E3B00">
      <w:headerReference w:type="default" r:id="rId29"/>
      <w:footerReference w:type="even" r:id="rId30"/>
      <w:footerReference w:type="default" r:id="rId3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309A0" w14:textId="77777777" w:rsidR="00791C52" w:rsidRDefault="00791C52" w:rsidP="001A7ADA">
      <w:r>
        <w:separator/>
      </w:r>
    </w:p>
  </w:endnote>
  <w:endnote w:type="continuationSeparator" w:id="0">
    <w:p w14:paraId="7FB161F2" w14:textId="77777777" w:rsidR="00791C52" w:rsidRDefault="00791C52"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Headings)">
    <w:altName w:val="Calibri 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74487" w14:textId="77777777" w:rsidR="007574EA" w:rsidRDefault="007574EA" w:rsidP="007574E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7574EA" w:rsidRDefault="007574EA"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C047E" w14:textId="79C2D704" w:rsidR="007574EA" w:rsidRDefault="007574EA" w:rsidP="007574E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4012">
      <w:rPr>
        <w:rStyle w:val="PageNumber"/>
        <w:noProof/>
      </w:rPr>
      <w:t>5</w:t>
    </w:r>
    <w:r>
      <w:rPr>
        <w:rStyle w:val="PageNumber"/>
      </w:rPr>
      <w:fldChar w:fldCharType="end"/>
    </w:r>
  </w:p>
  <w:p w14:paraId="026A0C06" w14:textId="77777777" w:rsidR="007574EA" w:rsidRDefault="007574EA"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522D3" w14:textId="77777777" w:rsidR="00791C52" w:rsidRDefault="00791C52" w:rsidP="001A7ADA">
      <w:r>
        <w:separator/>
      </w:r>
    </w:p>
  </w:footnote>
  <w:footnote w:type="continuationSeparator" w:id="0">
    <w:p w14:paraId="1B06BB10" w14:textId="77777777" w:rsidR="00791C52" w:rsidRDefault="00791C52" w:rsidP="001A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3DC16" w14:textId="38A2F665" w:rsidR="007574EA" w:rsidRDefault="007574EA" w:rsidP="001A5A31">
    <w:pPr>
      <w:pStyle w:val="Header"/>
      <w:jc w:val="center"/>
    </w:pPr>
  </w:p>
  <w:p w14:paraId="6A40B40F" w14:textId="77777777" w:rsidR="00B50AA2" w:rsidRPr="007F7306" w:rsidRDefault="00B50AA2" w:rsidP="00B50AA2">
    <w:pPr>
      <w:tabs>
        <w:tab w:val="center" w:pos="4513"/>
        <w:tab w:val="right" w:pos="9026"/>
      </w:tabs>
      <w:jc w:val="center"/>
      <w:rPr>
        <w:rFonts w:ascii="Tahoma" w:hAnsi="Tahoma"/>
        <w:b/>
        <w:lang w:eastAsia="en-US"/>
      </w:rPr>
    </w:pPr>
    <w:r w:rsidRPr="007F7306">
      <w:rPr>
        <w:rFonts w:ascii="Tahoma" w:hAnsi="Tahoma"/>
        <w:b/>
        <w:lang w:eastAsia="en-US"/>
      </w:rPr>
      <w:t>SHEERWATER HEALTH CENTRE</w:t>
    </w:r>
  </w:p>
  <w:p w14:paraId="085CE0CF" w14:textId="77777777" w:rsidR="007574EA" w:rsidRDefault="007574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75864"/>
    <w:multiLevelType w:val="hybridMultilevel"/>
    <w:tmpl w:val="5F1A0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7D4A2D"/>
    <w:multiLevelType w:val="hybridMultilevel"/>
    <w:tmpl w:val="C7629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F5A77"/>
    <w:multiLevelType w:val="hybridMultilevel"/>
    <w:tmpl w:val="C3D8A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10710"/>
    <w:multiLevelType w:val="hybridMultilevel"/>
    <w:tmpl w:val="1D70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584B28"/>
    <w:multiLevelType w:val="hybridMultilevel"/>
    <w:tmpl w:val="E87A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1E121F"/>
    <w:multiLevelType w:val="hybridMultilevel"/>
    <w:tmpl w:val="DDA81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597949"/>
    <w:multiLevelType w:val="hybridMultilevel"/>
    <w:tmpl w:val="5142D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5771C9C"/>
    <w:multiLevelType w:val="hybridMultilevel"/>
    <w:tmpl w:val="8D186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6E04FE"/>
    <w:multiLevelType w:val="hybridMultilevel"/>
    <w:tmpl w:val="73A4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10428C"/>
    <w:multiLevelType w:val="hybridMultilevel"/>
    <w:tmpl w:val="7A7C4AAE"/>
    <w:lvl w:ilvl="0" w:tplc="04090001">
      <w:start w:val="1"/>
      <w:numFmt w:val="bullet"/>
      <w:lvlText w:val=""/>
      <w:lvlJc w:val="left"/>
      <w:pPr>
        <w:ind w:left="849" w:hanging="360"/>
      </w:pPr>
      <w:rPr>
        <w:rFonts w:ascii="Symbol" w:hAnsi="Symbol" w:hint="default"/>
      </w:rPr>
    </w:lvl>
    <w:lvl w:ilvl="1" w:tplc="04090003">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5" w15:restartNumberingAfterBreak="0">
    <w:nsid w:val="28C136AC"/>
    <w:multiLevelType w:val="hybridMultilevel"/>
    <w:tmpl w:val="43C6970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6" w15:restartNumberingAfterBreak="0">
    <w:nsid w:val="2EB22911"/>
    <w:multiLevelType w:val="hybridMultilevel"/>
    <w:tmpl w:val="6CF42FB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F005CCC"/>
    <w:multiLevelType w:val="hybridMultilevel"/>
    <w:tmpl w:val="77D2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A614FB"/>
    <w:multiLevelType w:val="hybridMultilevel"/>
    <w:tmpl w:val="29228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C454F4"/>
    <w:multiLevelType w:val="hybridMultilevel"/>
    <w:tmpl w:val="D40EA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104C1D"/>
    <w:multiLevelType w:val="hybridMultilevel"/>
    <w:tmpl w:val="6FCA0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C76CA7"/>
    <w:multiLevelType w:val="hybridMultilevel"/>
    <w:tmpl w:val="FF785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5821A9"/>
    <w:multiLevelType w:val="hybridMultilevel"/>
    <w:tmpl w:val="31281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F15275"/>
    <w:multiLevelType w:val="hybridMultilevel"/>
    <w:tmpl w:val="269A4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C4640"/>
    <w:multiLevelType w:val="hybridMultilevel"/>
    <w:tmpl w:val="8F44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E125A4"/>
    <w:multiLevelType w:val="hybridMultilevel"/>
    <w:tmpl w:val="683C2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E226A2"/>
    <w:multiLevelType w:val="hybridMultilevel"/>
    <w:tmpl w:val="A08A6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B64903"/>
    <w:multiLevelType w:val="hybridMultilevel"/>
    <w:tmpl w:val="67907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325317"/>
    <w:multiLevelType w:val="hybridMultilevel"/>
    <w:tmpl w:val="CAF4A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190198"/>
    <w:multiLevelType w:val="hybridMultilevel"/>
    <w:tmpl w:val="85987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D939C8"/>
    <w:multiLevelType w:val="hybridMultilevel"/>
    <w:tmpl w:val="EC681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4D08A6"/>
    <w:multiLevelType w:val="hybridMultilevel"/>
    <w:tmpl w:val="D38AF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1A3F28"/>
    <w:multiLevelType w:val="hybridMultilevel"/>
    <w:tmpl w:val="388A9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6B7D3D"/>
    <w:multiLevelType w:val="hybridMultilevel"/>
    <w:tmpl w:val="9CD2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305A00"/>
    <w:multiLevelType w:val="hybridMultilevel"/>
    <w:tmpl w:val="0EC6F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F51E3A"/>
    <w:multiLevelType w:val="hybridMultilevel"/>
    <w:tmpl w:val="9330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7071762">
    <w:abstractNumId w:val="12"/>
  </w:num>
  <w:num w:numId="2" w16cid:durableId="895242005">
    <w:abstractNumId w:val="0"/>
  </w:num>
  <w:num w:numId="3" w16cid:durableId="595944363">
    <w:abstractNumId w:val="20"/>
  </w:num>
  <w:num w:numId="4" w16cid:durableId="375665548">
    <w:abstractNumId w:val="37"/>
  </w:num>
  <w:num w:numId="5" w16cid:durableId="584536550">
    <w:abstractNumId w:val="32"/>
  </w:num>
  <w:num w:numId="6" w16cid:durableId="686061400">
    <w:abstractNumId w:val="19"/>
  </w:num>
  <w:num w:numId="7" w16cid:durableId="788402133">
    <w:abstractNumId w:val="5"/>
  </w:num>
  <w:num w:numId="8" w16cid:durableId="1914268254">
    <w:abstractNumId w:val="7"/>
  </w:num>
  <w:num w:numId="9" w16cid:durableId="763188550">
    <w:abstractNumId w:val="28"/>
  </w:num>
  <w:num w:numId="10" w16cid:durableId="925768294">
    <w:abstractNumId w:val="10"/>
  </w:num>
  <w:num w:numId="11" w16cid:durableId="853152040">
    <w:abstractNumId w:val="31"/>
  </w:num>
  <w:num w:numId="12" w16cid:durableId="174196079">
    <w:abstractNumId w:val="39"/>
  </w:num>
  <w:num w:numId="13" w16cid:durableId="89081991">
    <w:abstractNumId w:val="36"/>
  </w:num>
  <w:num w:numId="14" w16cid:durableId="443959260">
    <w:abstractNumId w:val="30"/>
  </w:num>
  <w:num w:numId="15" w16cid:durableId="680012784">
    <w:abstractNumId w:val="17"/>
  </w:num>
  <w:num w:numId="16" w16cid:durableId="1157724537">
    <w:abstractNumId w:val="34"/>
  </w:num>
  <w:num w:numId="17" w16cid:durableId="115222245">
    <w:abstractNumId w:val="18"/>
  </w:num>
  <w:num w:numId="18" w16cid:durableId="1270772338">
    <w:abstractNumId w:val="14"/>
  </w:num>
  <w:num w:numId="19" w16cid:durableId="1518034508">
    <w:abstractNumId w:val="6"/>
  </w:num>
  <w:num w:numId="20" w16cid:durableId="296885586">
    <w:abstractNumId w:val="40"/>
  </w:num>
  <w:num w:numId="21" w16cid:durableId="525758729">
    <w:abstractNumId w:val="21"/>
  </w:num>
  <w:num w:numId="22" w16cid:durableId="687609391">
    <w:abstractNumId w:val="29"/>
  </w:num>
  <w:num w:numId="23" w16cid:durableId="1152450736">
    <w:abstractNumId w:val="25"/>
  </w:num>
  <w:num w:numId="24" w16cid:durableId="1025055025">
    <w:abstractNumId w:val="13"/>
  </w:num>
  <w:num w:numId="25" w16cid:durableId="1494489837">
    <w:abstractNumId w:val="11"/>
  </w:num>
  <w:num w:numId="26" w16cid:durableId="433021723">
    <w:abstractNumId w:val="38"/>
  </w:num>
  <w:num w:numId="27" w16cid:durableId="1768038446">
    <w:abstractNumId w:val="23"/>
  </w:num>
  <w:num w:numId="28" w16cid:durableId="1929582630">
    <w:abstractNumId w:val="9"/>
  </w:num>
  <w:num w:numId="29" w16cid:durableId="2001032747">
    <w:abstractNumId w:val="4"/>
  </w:num>
  <w:num w:numId="30" w16cid:durableId="346909837">
    <w:abstractNumId w:val="26"/>
  </w:num>
  <w:num w:numId="31" w16cid:durableId="1108886041">
    <w:abstractNumId w:val="3"/>
  </w:num>
  <w:num w:numId="32" w16cid:durableId="1386174361">
    <w:abstractNumId w:val="27"/>
  </w:num>
  <w:num w:numId="33" w16cid:durableId="465245910">
    <w:abstractNumId w:val="15"/>
  </w:num>
  <w:num w:numId="34" w16cid:durableId="11996739">
    <w:abstractNumId w:val="10"/>
  </w:num>
  <w:num w:numId="35" w16cid:durableId="132214211">
    <w:abstractNumId w:val="10"/>
  </w:num>
  <w:num w:numId="36" w16cid:durableId="122425312">
    <w:abstractNumId w:val="8"/>
  </w:num>
  <w:num w:numId="37" w16cid:durableId="1029531547">
    <w:abstractNumId w:val="16"/>
  </w:num>
  <w:num w:numId="38" w16cid:durableId="252201148">
    <w:abstractNumId w:val="2"/>
  </w:num>
  <w:num w:numId="39" w16cid:durableId="941375848">
    <w:abstractNumId w:val="1"/>
  </w:num>
  <w:num w:numId="40" w16cid:durableId="2078548103">
    <w:abstractNumId w:val="33"/>
  </w:num>
  <w:num w:numId="41" w16cid:durableId="1503275120">
    <w:abstractNumId w:val="24"/>
  </w:num>
  <w:num w:numId="42" w16cid:durableId="1171456798">
    <w:abstractNumId w:val="22"/>
  </w:num>
  <w:num w:numId="43" w16cid:durableId="115765095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GB" w:vendorID="64" w:dllVersion="6"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212DB"/>
    <w:rsid w:val="00036D28"/>
    <w:rsid w:val="00045970"/>
    <w:rsid w:val="000525E2"/>
    <w:rsid w:val="000532E5"/>
    <w:rsid w:val="000623EB"/>
    <w:rsid w:val="00064BC9"/>
    <w:rsid w:val="000C08D7"/>
    <w:rsid w:val="000C63A7"/>
    <w:rsid w:val="000D64AA"/>
    <w:rsid w:val="000D78CB"/>
    <w:rsid w:val="000E4406"/>
    <w:rsid w:val="0010700A"/>
    <w:rsid w:val="00132D32"/>
    <w:rsid w:val="00134281"/>
    <w:rsid w:val="001423EC"/>
    <w:rsid w:val="0014549E"/>
    <w:rsid w:val="00146F9D"/>
    <w:rsid w:val="00151D04"/>
    <w:rsid w:val="00155439"/>
    <w:rsid w:val="00174139"/>
    <w:rsid w:val="0017511D"/>
    <w:rsid w:val="001913EC"/>
    <w:rsid w:val="001A5A31"/>
    <w:rsid w:val="001A7ADA"/>
    <w:rsid w:val="001B2025"/>
    <w:rsid w:val="001F47CA"/>
    <w:rsid w:val="0020084E"/>
    <w:rsid w:val="00204546"/>
    <w:rsid w:val="00204D6A"/>
    <w:rsid w:val="00207942"/>
    <w:rsid w:val="00215338"/>
    <w:rsid w:val="00242BCA"/>
    <w:rsid w:val="00245B14"/>
    <w:rsid w:val="00250BC0"/>
    <w:rsid w:val="00253637"/>
    <w:rsid w:val="00255347"/>
    <w:rsid w:val="00256290"/>
    <w:rsid w:val="00267E9E"/>
    <w:rsid w:val="0027296F"/>
    <w:rsid w:val="00274D7F"/>
    <w:rsid w:val="00296221"/>
    <w:rsid w:val="002C04CE"/>
    <w:rsid w:val="002C7888"/>
    <w:rsid w:val="002C7AA5"/>
    <w:rsid w:val="002D19E7"/>
    <w:rsid w:val="002D6A0D"/>
    <w:rsid w:val="002E0DC0"/>
    <w:rsid w:val="002E7933"/>
    <w:rsid w:val="00301DE7"/>
    <w:rsid w:val="00304111"/>
    <w:rsid w:val="003047E5"/>
    <w:rsid w:val="00317A28"/>
    <w:rsid w:val="003244BF"/>
    <w:rsid w:val="003345FD"/>
    <w:rsid w:val="00340F32"/>
    <w:rsid w:val="003521B3"/>
    <w:rsid w:val="003541D6"/>
    <w:rsid w:val="003727CB"/>
    <w:rsid w:val="00392D79"/>
    <w:rsid w:val="00396043"/>
    <w:rsid w:val="003A093C"/>
    <w:rsid w:val="003E3B00"/>
    <w:rsid w:val="003F18C5"/>
    <w:rsid w:val="003F5566"/>
    <w:rsid w:val="004069F7"/>
    <w:rsid w:val="004130C5"/>
    <w:rsid w:val="0042260A"/>
    <w:rsid w:val="0043009A"/>
    <w:rsid w:val="00432EDB"/>
    <w:rsid w:val="00443839"/>
    <w:rsid w:val="00444D3A"/>
    <w:rsid w:val="00462EF4"/>
    <w:rsid w:val="0046350B"/>
    <w:rsid w:val="004768BC"/>
    <w:rsid w:val="00480428"/>
    <w:rsid w:val="004804E4"/>
    <w:rsid w:val="004856D4"/>
    <w:rsid w:val="00495429"/>
    <w:rsid w:val="004E0159"/>
    <w:rsid w:val="004E47CF"/>
    <w:rsid w:val="004E6BFD"/>
    <w:rsid w:val="005032ED"/>
    <w:rsid w:val="005069BE"/>
    <w:rsid w:val="00513A75"/>
    <w:rsid w:val="00522004"/>
    <w:rsid w:val="005330B0"/>
    <w:rsid w:val="00540AC7"/>
    <w:rsid w:val="0055414F"/>
    <w:rsid w:val="00570FAF"/>
    <w:rsid w:val="00585580"/>
    <w:rsid w:val="005904A3"/>
    <w:rsid w:val="005B2549"/>
    <w:rsid w:val="005B4DCB"/>
    <w:rsid w:val="005B6728"/>
    <w:rsid w:val="005C0472"/>
    <w:rsid w:val="005C256E"/>
    <w:rsid w:val="005C2CF3"/>
    <w:rsid w:val="005F25AB"/>
    <w:rsid w:val="006107A8"/>
    <w:rsid w:val="00627C0D"/>
    <w:rsid w:val="00646BA7"/>
    <w:rsid w:val="006650B1"/>
    <w:rsid w:val="006703E5"/>
    <w:rsid w:val="006754E4"/>
    <w:rsid w:val="0068714A"/>
    <w:rsid w:val="0069158E"/>
    <w:rsid w:val="00697E17"/>
    <w:rsid w:val="006A2CB2"/>
    <w:rsid w:val="006C5FAD"/>
    <w:rsid w:val="006E1BE2"/>
    <w:rsid w:val="006F4433"/>
    <w:rsid w:val="006F7434"/>
    <w:rsid w:val="00705117"/>
    <w:rsid w:val="00710ED0"/>
    <w:rsid w:val="00733CCA"/>
    <w:rsid w:val="00741474"/>
    <w:rsid w:val="007415F8"/>
    <w:rsid w:val="007574EA"/>
    <w:rsid w:val="00781C84"/>
    <w:rsid w:val="00784AC3"/>
    <w:rsid w:val="00791C52"/>
    <w:rsid w:val="00796F90"/>
    <w:rsid w:val="007979AA"/>
    <w:rsid w:val="007A0CF7"/>
    <w:rsid w:val="007C1D3B"/>
    <w:rsid w:val="007D28C5"/>
    <w:rsid w:val="007F34C9"/>
    <w:rsid w:val="007F3C35"/>
    <w:rsid w:val="008024B1"/>
    <w:rsid w:val="00830A6E"/>
    <w:rsid w:val="008552A9"/>
    <w:rsid w:val="008706B5"/>
    <w:rsid w:val="0089160D"/>
    <w:rsid w:val="008A0922"/>
    <w:rsid w:val="008A4D2E"/>
    <w:rsid w:val="008B52F9"/>
    <w:rsid w:val="008C11B9"/>
    <w:rsid w:val="008C1D45"/>
    <w:rsid w:val="00903EAA"/>
    <w:rsid w:val="00917352"/>
    <w:rsid w:val="00922C31"/>
    <w:rsid w:val="00923F5F"/>
    <w:rsid w:val="00930BE3"/>
    <w:rsid w:val="00933C26"/>
    <w:rsid w:val="00946AE2"/>
    <w:rsid w:val="00946F45"/>
    <w:rsid w:val="00956BA3"/>
    <w:rsid w:val="00962AA2"/>
    <w:rsid w:val="00964E93"/>
    <w:rsid w:val="00974822"/>
    <w:rsid w:val="00982A94"/>
    <w:rsid w:val="00982E97"/>
    <w:rsid w:val="00983B4A"/>
    <w:rsid w:val="009866D0"/>
    <w:rsid w:val="009A0063"/>
    <w:rsid w:val="009A1E1C"/>
    <w:rsid w:val="009A600C"/>
    <w:rsid w:val="009C31D1"/>
    <w:rsid w:val="009D03A9"/>
    <w:rsid w:val="009E077D"/>
    <w:rsid w:val="009E28A6"/>
    <w:rsid w:val="009F603E"/>
    <w:rsid w:val="00A16C3A"/>
    <w:rsid w:val="00A4249D"/>
    <w:rsid w:val="00A53269"/>
    <w:rsid w:val="00A55E33"/>
    <w:rsid w:val="00A72387"/>
    <w:rsid w:val="00AA0D07"/>
    <w:rsid w:val="00AA25BE"/>
    <w:rsid w:val="00AB0810"/>
    <w:rsid w:val="00AB6453"/>
    <w:rsid w:val="00AC3A04"/>
    <w:rsid w:val="00AE0294"/>
    <w:rsid w:val="00AE3086"/>
    <w:rsid w:val="00AE5B91"/>
    <w:rsid w:val="00AF05C1"/>
    <w:rsid w:val="00B325DD"/>
    <w:rsid w:val="00B430B4"/>
    <w:rsid w:val="00B50AA2"/>
    <w:rsid w:val="00B62AFB"/>
    <w:rsid w:val="00B77814"/>
    <w:rsid w:val="00B80470"/>
    <w:rsid w:val="00B93366"/>
    <w:rsid w:val="00BA5AAC"/>
    <w:rsid w:val="00BB4D33"/>
    <w:rsid w:val="00BB7627"/>
    <w:rsid w:val="00BC4C86"/>
    <w:rsid w:val="00BD2885"/>
    <w:rsid w:val="00BF0BFF"/>
    <w:rsid w:val="00BF76B8"/>
    <w:rsid w:val="00C00597"/>
    <w:rsid w:val="00C01026"/>
    <w:rsid w:val="00C02C82"/>
    <w:rsid w:val="00C2247F"/>
    <w:rsid w:val="00C330F5"/>
    <w:rsid w:val="00C3769B"/>
    <w:rsid w:val="00C412A5"/>
    <w:rsid w:val="00C52927"/>
    <w:rsid w:val="00C531AC"/>
    <w:rsid w:val="00C5340F"/>
    <w:rsid w:val="00C63A21"/>
    <w:rsid w:val="00C65464"/>
    <w:rsid w:val="00C6640A"/>
    <w:rsid w:val="00C8574E"/>
    <w:rsid w:val="00CD211E"/>
    <w:rsid w:val="00CF5B39"/>
    <w:rsid w:val="00D234E6"/>
    <w:rsid w:val="00D238D2"/>
    <w:rsid w:val="00D24CA0"/>
    <w:rsid w:val="00D26395"/>
    <w:rsid w:val="00D344BA"/>
    <w:rsid w:val="00D42138"/>
    <w:rsid w:val="00D4369F"/>
    <w:rsid w:val="00D44012"/>
    <w:rsid w:val="00D51886"/>
    <w:rsid w:val="00D66037"/>
    <w:rsid w:val="00D6667F"/>
    <w:rsid w:val="00D77819"/>
    <w:rsid w:val="00D86F8B"/>
    <w:rsid w:val="00D91812"/>
    <w:rsid w:val="00DB0A65"/>
    <w:rsid w:val="00DC12D3"/>
    <w:rsid w:val="00DC173B"/>
    <w:rsid w:val="00DD2C51"/>
    <w:rsid w:val="00DE75EB"/>
    <w:rsid w:val="00E00B2F"/>
    <w:rsid w:val="00E25C30"/>
    <w:rsid w:val="00E3013A"/>
    <w:rsid w:val="00E4085B"/>
    <w:rsid w:val="00E70D7F"/>
    <w:rsid w:val="00E70DF9"/>
    <w:rsid w:val="00E717A4"/>
    <w:rsid w:val="00E72A70"/>
    <w:rsid w:val="00E75C75"/>
    <w:rsid w:val="00EC40B2"/>
    <w:rsid w:val="00EC6CE6"/>
    <w:rsid w:val="00EF1E13"/>
    <w:rsid w:val="00F01EC2"/>
    <w:rsid w:val="00F05931"/>
    <w:rsid w:val="00F06D1B"/>
    <w:rsid w:val="00F07D17"/>
    <w:rsid w:val="00F12561"/>
    <w:rsid w:val="00F3775A"/>
    <w:rsid w:val="00F41714"/>
    <w:rsid w:val="00F62D77"/>
    <w:rsid w:val="00F71749"/>
    <w:rsid w:val="00F73C3F"/>
    <w:rsid w:val="00F76CD2"/>
    <w:rsid w:val="00F836A6"/>
    <w:rsid w:val="00F970AB"/>
    <w:rsid w:val="00FB7B87"/>
    <w:rsid w:val="00FC3A5E"/>
    <w:rsid w:val="00FD12E5"/>
    <w:rsid w:val="00FD1B33"/>
    <w:rsid w:val="00FD5D3E"/>
    <w:rsid w:val="00FF22E3"/>
    <w:rsid w:val="00FF2B5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7EE6"/>
  <w14:defaultImageDpi w14:val="32767"/>
  <w15:docId w15:val="{35237926-9219-A343-8310-6520AA491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66"/>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6C5FAD"/>
    <w:pPr>
      <w:tabs>
        <w:tab w:val="left" w:pos="480"/>
        <w:tab w:val="right" w:pos="8505"/>
      </w:tabs>
      <w:spacing w:before="360"/>
    </w:pPr>
    <w:rPr>
      <w:rFonts w:asciiTheme="majorHAnsi" w:eastAsiaTheme="minorHAnsi" w:hAnsiTheme="majorHAnsi" w:cs="Calibri Light (Headings)"/>
      <w:b/>
      <w:bCs/>
      <w:noProof/>
      <w:lang w:eastAsia="en-US"/>
    </w:rPr>
  </w:style>
  <w:style w:type="paragraph" w:styleId="TOC2">
    <w:name w:val="toc 2"/>
    <w:basedOn w:val="Normal"/>
    <w:next w:val="Normal"/>
    <w:autoRedefine/>
    <w:uiPriority w:val="39"/>
    <w:rsid w:val="004130C5"/>
    <w:pPr>
      <w:tabs>
        <w:tab w:val="left" w:pos="660"/>
        <w:tab w:val="right" w:pos="8505"/>
      </w:tabs>
      <w:spacing w:before="80"/>
    </w:pPr>
    <w:rPr>
      <w:rFonts w:cstheme="minorHAnsi"/>
      <w:b/>
      <w:bCs/>
      <w:sz w:val="20"/>
      <w:szCs w:val="20"/>
    </w:rPr>
  </w:style>
  <w:style w:type="character" w:styleId="Strong">
    <w:name w:val="Strong"/>
    <w:basedOn w:val="DefaultParagraphFont"/>
    <w:uiPriority w:val="22"/>
    <w:qFormat/>
    <w:rsid w:val="007A0CF7"/>
    <w:rPr>
      <w:b/>
      <w:bCs/>
    </w:rPr>
  </w:style>
  <w:style w:type="paragraph" w:styleId="NormalWeb">
    <w:name w:val="Normal (Web)"/>
    <w:basedOn w:val="Normal"/>
    <w:uiPriority w:val="99"/>
    <w:unhideWhenUsed/>
    <w:rsid w:val="007A0CF7"/>
    <w:pPr>
      <w:spacing w:before="100" w:beforeAutospacing="1" w:after="100" w:afterAutospacing="1"/>
    </w:pPr>
  </w:style>
  <w:style w:type="character" w:customStyle="1" w:styleId="UnresolvedMention1">
    <w:name w:val="Unresolved Mention1"/>
    <w:basedOn w:val="DefaultParagraphFont"/>
    <w:uiPriority w:val="99"/>
    <w:semiHidden/>
    <w:unhideWhenUsed/>
    <w:rsid w:val="00983B4A"/>
    <w:rPr>
      <w:color w:val="808080"/>
      <w:shd w:val="clear" w:color="auto" w:fill="E6E6E6"/>
    </w:rPr>
  </w:style>
  <w:style w:type="character" w:styleId="FollowedHyperlink">
    <w:name w:val="FollowedHyperlink"/>
    <w:basedOn w:val="DefaultParagraphFont"/>
    <w:uiPriority w:val="99"/>
    <w:semiHidden/>
    <w:unhideWhenUsed/>
    <w:rsid w:val="00495429"/>
    <w:rPr>
      <w:color w:val="954F72" w:themeColor="followedHyperlink"/>
      <w:u w:val="single"/>
    </w:rPr>
  </w:style>
  <w:style w:type="character" w:customStyle="1" w:styleId="UnresolvedMention2">
    <w:name w:val="Unresolved Mention2"/>
    <w:basedOn w:val="DefaultParagraphFont"/>
    <w:uiPriority w:val="99"/>
    <w:semiHidden/>
    <w:unhideWhenUsed/>
    <w:rsid w:val="00C00597"/>
    <w:rPr>
      <w:color w:val="605E5C"/>
      <w:shd w:val="clear" w:color="auto" w:fill="E1DFDD"/>
    </w:rPr>
  </w:style>
  <w:style w:type="character" w:styleId="CommentReference">
    <w:name w:val="annotation reference"/>
    <w:basedOn w:val="DefaultParagraphFont"/>
    <w:uiPriority w:val="99"/>
    <w:semiHidden/>
    <w:unhideWhenUsed/>
    <w:rsid w:val="005904A3"/>
    <w:rPr>
      <w:sz w:val="16"/>
      <w:szCs w:val="16"/>
    </w:rPr>
  </w:style>
  <w:style w:type="paragraph" w:styleId="CommentText">
    <w:name w:val="annotation text"/>
    <w:basedOn w:val="Normal"/>
    <w:link w:val="CommentTextChar"/>
    <w:uiPriority w:val="99"/>
    <w:semiHidden/>
    <w:unhideWhenUsed/>
    <w:rsid w:val="005904A3"/>
    <w:rPr>
      <w:sz w:val="20"/>
      <w:szCs w:val="20"/>
    </w:rPr>
  </w:style>
  <w:style w:type="character" w:customStyle="1" w:styleId="CommentTextChar">
    <w:name w:val="Comment Text Char"/>
    <w:basedOn w:val="DefaultParagraphFont"/>
    <w:link w:val="CommentText"/>
    <w:uiPriority w:val="99"/>
    <w:semiHidden/>
    <w:rsid w:val="005904A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904A3"/>
    <w:rPr>
      <w:b/>
      <w:bCs/>
    </w:rPr>
  </w:style>
  <w:style w:type="character" w:customStyle="1" w:styleId="CommentSubjectChar">
    <w:name w:val="Comment Subject Char"/>
    <w:basedOn w:val="CommentTextChar"/>
    <w:link w:val="CommentSubject"/>
    <w:uiPriority w:val="99"/>
    <w:semiHidden/>
    <w:rsid w:val="005904A3"/>
    <w:rPr>
      <w:rFonts w:ascii="Times New Roman" w:eastAsia="Times New Roman" w:hAnsi="Times New Roman" w:cs="Times New Roman"/>
      <w:b/>
      <w:bCs/>
      <w:sz w:val="20"/>
      <w:szCs w:val="20"/>
      <w:lang w:eastAsia="en-GB"/>
    </w:rPr>
  </w:style>
  <w:style w:type="character" w:customStyle="1" w:styleId="UnresolvedMention3">
    <w:name w:val="Unresolved Mention3"/>
    <w:basedOn w:val="DefaultParagraphFont"/>
    <w:uiPriority w:val="99"/>
    <w:semiHidden/>
    <w:unhideWhenUsed/>
    <w:rsid w:val="000D78CB"/>
    <w:rPr>
      <w:color w:val="605E5C"/>
      <w:shd w:val="clear" w:color="auto" w:fill="E1DFDD"/>
    </w:rPr>
  </w:style>
  <w:style w:type="paragraph" w:styleId="Revision">
    <w:name w:val="Revision"/>
    <w:hidden/>
    <w:uiPriority w:val="99"/>
    <w:semiHidden/>
    <w:rsid w:val="00E70DF9"/>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86508">
      <w:bodyDiv w:val="1"/>
      <w:marLeft w:val="0"/>
      <w:marRight w:val="0"/>
      <w:marTop w:val="0"/>
      <w:marBottom w:val="0"/>
      <w:divBdr>
        <w:top w:val="none" w:sz="0" w:space="0" w:color="auto"/>
        <w:left w:val="none" w:sz="0" w:space="0" w:color="auto"/>
        <w:bottom w:val="none" w:sz="0" w:space="0" w:color="auto"/>
        <w:right w:val="none" w:sz="0" w:space="0" w:color="auto"/>
      </w:divBdr>
    </w:div>
    <w:div w:id="331613318">
      <w:bodyDiv w:val="1"/>
      <w:marLeft w:val="0"/>
      <w:marRight w:val="0"/>
      <w:marTop w:val="0"/>
      <w:marBottom w:val="0"/>
      <w:divBdr>
        <w:top w:val="none" w:sz="0" w:space="0" w:color="auto"/>
        <w:left w:val="none" w:sz="0" w:space="0" w:color="auto"/>
        <w:bottom w:val="none" w:sz="0" w:space="0" w:color="auto"/>
        <w:right w:val="none" w:sz="0" w:space="0" w:color="auto"/>
      </w:divBdr>
    </w:div>
    <w:div w:id="457527133">
      <w:bodyDiv w:val="1"/>
      <w:marLeft w:val="0"/>
      <w:marRight w:val="0"/>
      <w:marTop w:val="0"/>
      <w:marBottom w:val="0"/>
      <w:divBdr>
        <w:top w:val="none" w:sz="0" w:space="0" w:color="auto"/>
        <w:left w:val="none" w:sz="0" w:space="0" w:color="auto"/>
        <w:bottom w:val="none" w:sz="0" w:space="0" w:color="auto"/>
        <w:right w:val="none" w:sz="0" w:space="0" w:color="auto"/>
      </w:divBdr>
    </w:div>
    <w:div w:id="471873655">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611285311">
      <w:bodyDiv w:val="1"/>
      <w:marLeft w:val="0"/>
      <w:marRight w:val="0"/>
      <w:marTop w:val="0"/>
      <w:marBottom w:val="0"/>
      <w:divBdr>
        <w:top w:val="none" w:sz="0" w:space="0" w:color="auto"/>
        <w:left w:val="none" w:sz="0" w:space="0" w:color="auto"/>
        <w:bottom w:val="none" w:sz="0" w:space="0" w:color="auto"/>
        <w:right w:val="none" w:sz="0" w:space="0" w:color="auto"/>
      </w:divBdr>
    </w:div>
    <w:div w:id="834221419">
      <w:bodyDiv w:val="1"/>
      <w:marLeft w:val="0"/>
      <w:marRight w:val="0"/>
      <w:marTop w:val="0"/>
      <w:marBottom w:val="0"/>
      <w:divBdr>
        <w:top w:val="none" w:sz="0" w:space="0" w:color="auto"/>
        <w:left w:val="none" w:sz="0" w:space="0" w:color="auto"/>
        <w:bottom w:val="none" w:sz="0" w:space="0" w:color="auto"/>
        <w:right w:val="none" w:sz="0" w:space="0" w:color="auto"/>
      </w:divBdr>
    </w:div>
    <w:div w:id="865286532">
      <w:bodyDiv w:val="1"/>
      <w:marLeft w:val="0"/>
      <w:marRight w:val="0"/>
      <w:marTop w:val="0"/>
      <w:marBottom w:val="0"/>
      <w:divBdr>
        <w:top w:val="none" w:sz="0" w:space="0" w:color="auto"/>
        <w:left w:val="none" w:sz="0" w:space="0" w:color="auto"/>
        <w:bottom w:val="none" w:sz="0" w:space="0" w:color="auto"/>
        <w:right w:val="none" w:sz="0" w:space="0" w:color="auto"/>
      </w:divBdr>
    </w:div>
    <w:div w:id="926421016">
      <w:bodyDiv w:val="1"/>
      <w:marLeft w:val="0"/>
      <w:marRight w:val="0"/>
      <w:marTop w:val="0"/>
      <w:marBottom w:val="0"/>
      <w:divBdr>
        <w:top w:val="none" w:sz="0" w:space="0" w:color="auto"/>
        <w:left w:val="none" w:sz="0" w:space="0" w:color="auto"/>
        <w:bottom w:val="none" w:sz="0" w:space="0" w:color="auto"/>
        <w:right w:val="none" w:sz="0" w:space="0" w:color="auto"/>
      </w:divBdr>
    </w:div>
    <w:div w:id="1010834300">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11597883">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596402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media/5f6cc6138fa8f541f6763295/Mental-capacity-act-code-of-practice.pdf" TargetMode="External"/><Relationship Id="rId18" Type="http://schemas.openxmlformats.org/officeDocument/2006/relationships/hyperlink" Target="https://www.ageuk.org.uk/globalassets/age-uk/documents/factsheets/fs62_deprivation_of_liberty_safeguards_fcs.pdf" TargetMode="External"/><Relationship Id="rId26" Type="http://schemas.openxmlformats.org/officeDocument/2006/relationships/hyperlink" Target="https://www.nhs.uk/conditions/end-of-life-care/advance-decision-to-refuse-treatment/" TargetMode="External"/><Relationship Id="rId3" Type="http://schemas.openxmlformats.org/officeDocument/2006/relationships/numbering" Target="numbering.xml"/><Relationship Id="rId21" Type="http://schemas.openxmlformats.org/officeDocument/2006/relationships/hyperlink" Target="https://www.nice.org.uk/guidance/ng108/chapter/Recommendations" TargetMode="External"/><Relationship Id="rId7" Type="http://schemas.openxmlformats.org/officeDocument/2006/relationships/footnotes" Target="footnotes.xml"/><Relationship Id="rId12" Type="http://schemas.openxmlformats.org/officeDocument/2006/relationships/hyperlink" Target="https://www.legislation.gov.uk/ukpga/2010/15/contents" TargetMode="External"/><Relationship Id="rId17" Type="http://schemas.openxmlformats.org/officeDocument/2006/relationships/hyperlink" Target="https://www.ageuk.org.uk/globalassets/age-uk/documents/factsheets/fs22_arranging_for_someone_to_make_decisions_on_your_behalf_fcs.pdf" TargetMode="External"/><Relationship Id="rId25" Type="http://schemas.openxmlformats.org/officeDocument/2006/relationships/hyperlink" Target="https://www.mind.org.uk/information-support/guides-to-support-and-services/advocacy/finding-an-advocat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uk/ukpga/2005/9/section/4" TargetMode="External"/><Relationship Id="rId20" Type="http://schemas.openxmlformats.org/officeDocument/2006/relationships/hyperlink" Target="https://www.nice.org.uk/guidance/ng108/chapter/Recommendation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qc.org.uk/help-advice/mental-health-capacity/about-mental-capacity-act" TargetMode="External"/><Relationship Id="rId24" Type="http://schemas.openxmlformats.org/officeDocument/2006/relationships/hyperlink" Target="https://assets.publishing.service.gov.uk/government/uploads/system/uploads/attachment_data/file/921428/Mental-capacity-act-code-of-practice.pdf"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assets.publishing.service.gov.uk/media/5f6cc6138fa8f541f6763295/Mental-capacity-act-code-of-practice.pdf" TargetMode="External"/><Relationship Id="rId23" Type="http://schemas.openxmlformats.org/officeDocument/2006/relationships/hyperlink" Target="https://www.gov.uk/government/publications/independent-mental-capacity-advocates" TargetMode="External"/><Relationship Id="rId28" Type="http://schemas.openxmlformats.org/officeDocument/2006/relationships/hyperlink" Target="https://www.nhs.uk/conditions/social-care-and-support-guide/making-decisions-for-someone-else/giving-someone-power-of-attorney/" TargetMode="External"/><Relationship Id="rId10" Type="http://schemas.openxmlformats.org/officeDocument/2006/relationships/hyperlink" Target="https://www.ageuk.org.uk/globalassets/age-uk/documents/factsheets/fs62_deprivation_of_liberty_safeguards_fcs.pdf" TargetMode="External"/><Relationship Id="rId19" Type="http://schemas.openxmlformats.org/officeDocument/2006/relationships/hyperlink" Target="https://www.mind.org.uk/information-support/legal-rights/mental-capacity-act-2005/deprivation-of-liberty/"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legislation.gov.uk/ukpga/2005/9/contents" TargetMode="External"/><Relationship Id="rId14" Type="http://schemas.openxmlformats.org/officeDocument/2006/relationships/hyperlink" Target="https://www.gov.uk/government/publications/mental-capacity-act-code-of-practice" TargetMode="External"/><Relationship Id="rId22" Type="http://schemas.openxmlformats.org/officeDocument/2006/relationships/hyperlink" Target="https://www.legislation.gov.uk/ukpga/2005/9/section/1" TargetMode="External"/><Relationship Id="rId27" Type="http://schemas.openxmlformats.org/officeDocument/2006/relationships/hyperlink" Target="https://www.nhs.uk/conditions/end-of-life-care/advance-statement/" TargetMode="External"/><Relationship Id="rId30"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5C6DDF-6F87-4ED1-887D-61A38E750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10992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2</cp:revision>
  <dcterms:created xsi:type="dcterms:W3CDTF">2024-10-01T08:54:00Z</dcterms:created>
  <dcterms:modified xsi:type="dcterms:W3CDTF">2024-10-01T08:54:00Z</dcterms:modified>
</cp:coreProperties>
</file>