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FA9" w14:textId="3A6E14F1" w:rsidR="00E85096" w:rsidRDefault="007C741E" w:rsidP="00675084">
      <w:pPr>
        <w:jc w:val="center"/>
        <w:rPr>
          <w:rFonts w:ascii="Arial" w:hAnsi="Arial" w:cs="Arial"/>
          <w:b/>
          <w:sz w:val="48"/>
          <w:szCs w:val="48"/>
        </w:rPr>
      </w:pPr>
      <w:r w:rsidRPr="00532578">
        <w:rPr>
          <w:rFonts w:ascii="Arial" w:hAnsi="Arial" w:cs="Arial"/>
          <w:b/>
          <w:sz w:val="48"/>
          <w:szCs w:val="48"/>
        </w:rPr>
        <w:t>Obesity Management Guidance Document</w:t>
      </w:r>
    </w:p>
    <w:p w14:paraId="6C11B461" w14:textId="77777777" w:rsidR="00A30CE0" w:rsidRDefault="00A30CE0" w:rsidP="00675084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228"/>
        <w:gridCol w:w="2104"/>
        <w:gridCol w:w="3278"/>
      </w:tblGrid>
      <w:tr w:rsidR="00A30CE0" w14:paraId="0CAB246E" w14:textId="7777777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ABFC1A6" w14:textId="77777777" w:rsidR="00A30CE0" w:rsidRDefault="00A30CE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974DD24" w14:textId="77777777" w:rsidR="00A30CE0" w:rsidRDefault="00A30CE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  <w:t>Review date: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46DC4" w14:textId="77777777" w:rsidR="00A30CE0" w:rsidRDefault="00A30CE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903E12D" w14:textId="77777777" w:rsidR="00A30CE0" w:rsidRDefault="00A30CE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4E2678B" w14:textId="77777777" w:rsidR="00A30CE0" w:rsidRDefault="00A30CE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6"/>
                <w:szCs w:val="26"/>
                <w:lang w:val="en-US"/>
              </w:rPr>
              <w:t>Comments:</w:t>
            </w:r>
          </w:p>
        </w:tc>
      </w:tr>
      <w:tr w:rsidR="00A30CE0" w14:paraId="3C31D3CB" w14:textId="7777777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06DAC415" w14:textId="77777777" w:rsidR="00A30CE0" w:rsidRDefault="00A30CE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v1.2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1A11D98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08/12/2022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CF8FA07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Arial" w:cs="Arial"/>
                <w:spacing w:val="-2"/>
                <w:sz w:val="26"/>
                <w:szCs w:val="26"/>
                <w:lang w:val="en-US"/>
              </w:rPr>
              <w:t>Sultan Mohamed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269CC605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Arial" w:cs="Arial"/>
                <w:spacing w:val="-2"/>
                <w:sz w:val="26"/>
                <w:szCs w:val="26"/>
                <w:lang w:val="en-US"/>
              </w:rPr>
              <w:t>Munira Mohamed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6581CF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</w:tr>
      <w:tr w:rsidR="00A30CE0" w14:paraId="075A7644" w14:textId="7777777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E96D44F" w14:textId="5DC82174" w:rsidR="00A30CE0" w:rsidRDefault="00A30CE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v1.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B5BB210" w14:textId="0EDDE0A2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13/08/2025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7CB0812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Sultan Mohamed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730188D5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Munira Mohamed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CEB3B9B" w14:textId="70FF6D22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</w:tr>
      <w:tr w:rsidR="00A30CE0" w14:paraId="27059C64" w14:textId="7777777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77B0B9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EC36E83" w14:textId="409C77F1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August</w:t>
            </w:r>
            <w:r>
              <w:rPr>
                <w:sz w:val="26"/>
                <w:szCs w:val="26"/>
                <w:lang w:val="en-US"/>
              </w:rPr>
              <w:t xml:space="preserve"> 202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739877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ACF742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9965347" w14:textId="77777777" w:rsidR="00A30CE0" w:rsidRDefault="00A30C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Next review</w:t>
            </w:r>
          </w:p>
        </w:tc>
      </w:tr>
      <w:tr w:rsidR="00A30CE0" w14:paraId="3159B40C" w14:textId="7777777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F538B2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8CCEEA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EAE770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BD740E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19F1AF" w14:textId="77777777" w:rsidR="00A30CE0" w:rsidRDefault="00A30CE0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427E16F4" w14:textId="77777777" w:rsidR="00A30CE0" w:rsidRPr="00532578" w:rsidRDefault="00A30CE0" w:rsidP="00675084">
      <w:pPr>
        <w:jc w:val="center"/>
        <w:rPr>
          <w:rFonts w:ascii="Arial" w:hAnsi="Arial" w:cs="Arial"/>
          <w:b/>
          <w:sz w:val="48"/>
          <w:szCs w:val="48"/>
        </w:rPr>
      </w:pPr>
    </w:p>
    <w:p w14:paraId="16FBD075" w14:textId="77777777" w:rsidR="00532578" w:rsidRPr="00532578" w:rsidRDefault="00532578">
      <w:pPr>
        <w:rPr>
          <w:rFonts w:ascii="Arial" w:hAnsi="Arial" w:cs="Arial"/>
          <w:sz w:val="18"/>
          <w:szCs w:val="18"/>
        </w:rPr>
      </w:pPr>
    </w:p>
    <w:p w14:paraId="4ADDD4F7" w14:textId="125E9F1C" w:rsidR="000858D5" w:rsidRPr="00E92F6C" w:rsidRDefault="00D05574">
      <w:pPr>
        <w:rPr>
          <w:rFonts w:ascii="Arial" w:hAnsi="Arial" w:cs="Arial"/>
          <w:b/>
          <w:sz w:val="28"/>
          <w:szCs w:val="28"/>
        </w:rPr>
      </w:pPr>
      <w:r w:rsidRPr="00E92F6C">
        <w:rPr>
          <w:rFonts w:ascii="Arial" w:hAnsi="Arial" w:cs="Arial"/>
          <w:b/>
          <w:sz w:val="28"/>
          <w:szCs w:val="28"/>
        </w:rPr>
        <w:t>Table of c</w:t>
      </w:r>
      <w:r w:rsidR="000858D5" w:rsidRPr="00E92F6C">
        <w:rPr>
          <w:rFonts w:ascii="Arial" w:hAnsi="Arial" w:cs="Arial"/>
          <w:b/>
          <w:sz w:val="28"/>
          <w:szCs w:val="28"/>
        </w:rPr>
        <w:t>ontents</w:t>
      </w:r>
    </w:p>
    <w:p w14:paraId="5E410001" w14:textId="33D9E17C" w:rsidR="001E4146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r w:rsidRPr="00E92F6C">
        <w:rPr>
          <w:noProof w:val="0"/>
          <w:sz w:val="20"/>
          <w:szCs w:val="28"/>
        </w:rPr>
        <w:fldChar w:fldCharType="begin"/>
      </w:r>
      <w:r w:rsidRPr="00E92F6C">
        <w:rPr>
          <w:noProof w:val="0"/>
          <w:sz w:val="20"/>
          <w:szCs w:val="28"/>
        </w:rPr>
        <w:instrText xml:space="preserve"> TOC \o "1-3" \h \z \u </w:instrText>
      </w:r>
      <w:r w:rsidRPr="00E92F6C">
        <w:rPr>
          <w:noProof w:val="0"/>
          <w:sz w:val="20"/>
          <w:szCs w:val="28"/>
        </w:rPr>
        <w:fldChar w:fldCharType="separate"/>
      </w:r>
      <w:hyperlink w:anchor="_Toc205798940" w:history="1">
        <w:r w:rsidR="001E4146" w:rsidRPr="0056687A">
          <w:rPr>
            <w:rStyle w:val="Hyperlink"/>
          </w:rPr>
          <w:t>1</w:t>
        </w:r>
        <w:r w:rsidR="001E4146">
          <w:rPr>
            <w:rFonts w:asciiTheme="minorHAnsi" w:eastAsiaTheme="minorEastAsia" w:hAnsiTheme="minorHAnsi" w:cstheme="minorBidi"/>
            <w:b w:val="0"/>
            <w:bCs w:val="0"/>
            <w:kern w:val="2"/>
            <w:lang w:eastAsia="en-GB"/>
            <w14:ligatures w14:val="standardContextual"/>
          </w:rPr>
          <w:tab/>
        </w:r>
        <w:r w:rsidR="001E4146" w:rsidRPr="0056687A">
          <w:rPr>
            <w:rStyle w:val="Hyperlink"/>
          </w:rPr>
          <w:t>Introduction</w:t>
        </w:r>
        <w:r w:rsidR="001E4146">
          <w:rPr>
            <w:webHidden/>
          </w:rPr>
          <w:tab/>
        </w:r>
        <w:r w:rsidR="001E4146">
          <w:rPr>
            <w:webHidden/>
          </w:rPr>
          <w:fldChar w:fldCharType="begin"/>
        </w:r>
        <w:r w:rsidR="001E4146">
          <w:rPr>
            <w:webHidden/>
          </w:rPr>
          <w:instrText xml:space="preserve"> PAGEREF _Toc205798940 \h </w:instrText>
        </w:r>
        <w:r w:rsidR="001E4146">
          <w:rPr>
            <w:webHidden/>
          </w:rPr>
        </w:r>
        <w:r w:rsidR="001E4146">
          <w:rPr>
            <w:webHidden/>
          </w:rPr>
          <w:fldChar w:fldCharType="separate"/>
        </w:r>
        <w:r w:rsidR="003350E8">
          <w:rPr>
            <w:webHidden/>
          </w:rPr>
          <w:t>2</w:t>
        </w:r>
        <w:r w:rsidR="001E4146">
          <w:rPr>
            <w:webHidden/>
          </w:rPr>
          <w:fldChar w:fldCharType="end"/>
        </w:r>
      </w:hyperlink>
    </w:p>
    <w:p w14:paraId="7EAA0D29" w14:textId="323B78C5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1" w:history="1">
        <w:r w:rsidRPr="003350E8">
          <w:rPr>
            <w:rStyle w:val="Hyperlink"/>
            <w:rFonts w:ascii="Arial" w:hAnsi="Arial" w:cs="Arial"/>
            <w:noProof/>
          </w:rPr>
          <w:t>1.1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Guidance statement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_Toc205798941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2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5CC7E630" w14:textId="510B4056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2" w:history="1">
        <w:r w:rsidRPr="003350E8">
          <w:rPr>
            <w:rStyle w:val="Hyperlink"/>
            <w:rFonts w:ascii="Arial" w:hAnsi="Arial" w:cs="Arial"/>
            <w:noProof/>
          </w:rPr>
          <w:t>1.2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Status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_Toc205798942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2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7BD6A8DC" w14:textId="64421376" w:rsidR="001E4146" w:rsidRPr="003350E8" w:rsidRDefault="001E4146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hyperlink w:anchor="_Toc205798943" w:history="1">
        <w:r w:rsidRPr="003350E8">
          <w:rPr>
            <w:rStyle w:val="Hyperlink"/>
          </w:rPr>
          <w:t>2</w:t>
        </w:r>
        <w:r w:rsidRPr="003350E8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Pr="003350E8">
          <w:rPr>
            <w:rStyle w:val="Hyperlink"/>
          </w:rPr>
          <w:t>General guidance</w:t>
        </w:r>
        <w:r w:rsidRPr="003350E8">
          <w:rPr>
            <w:webHidden/>
          </w:rPr>
          <w:tab/>
        </w:r>
        <w:r w:rsidRPr="003350E8">
          <w:rPr>
            <w:webHidden/>
          </w:rPr>
          <w:fldChar w:fldCharType="begin"/>
        </w:r>
        <w:r w:rsidRPr="003350E8">
          <w:rPr>
            <w:webHidden/>
          </w:rPr>
          <w:instrText xml:space="preserve"> PAGEREF _Toc205798943 \h </w:instrText>
        </w:r>
        <w:r w:rsidRPr="003350E8">
          <w:rPr>
            <w:webHidden/>
          </w:rPr>
        </w:r>
        <w:r w:rsidRPr="003350E8">
          <w:rPr>
            <w:webHidden/>
          </w:rPr>
          <w:fldChar w:fldCharType="separate"/>
        </w:r>
        <w:r w:rsidR="003350E8" w:rsidRPr="003350E8">
          <w:rPr>
            <w:webHidden/>
          </w:rPr>
          <w:t>2</w:t>
        </w:r>
        <w:r w:rsidRPr="003350E8">
          <w:rPr>
            <w:webHidden/>
          </w:rPr>
          <w:fldChar w:fldCharType="end"/>
        </w:r>
      </w:hyperlink>
    </w:p>
    <w:p w14:paraId="7518EF90" w14:textId="501CDB1D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4" w:history="1">
        <w:r w:rsidRPr="003350E8">
          <w:rPr>
            <w:rStyle w:val="Hyperlink"/>
            <w:rFonts w:ascii="Arial" w:hAnsi="Arial" w:cs="Arial"/>
            <w:noProof/>
          </w:rPr>
          <w:t>2.1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Obesity register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_Toc205798944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2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58AB59E0" w14:textId="273851DA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5" w:history="1">
        <w:r w:rsidRPr="003350E8">
          <w:rPr>
            <w:rStyle w:val="Hyperlink"/>
            <w:rFonts w:ascii="Arial" w:hAnsi="Arial" w:cs="Arial"/>
            <w:noProof/>
          </w:rPr>
          <w:t>2.2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Weight management services/acceptable referrals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_Toc205798945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2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40A3DC3D" w14:textId="43CD4696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6" w:history="1">
        <w:r w:rsidRPr="003350E8">
          <w:rPr>
            <w:rStyle w:val="Hyperlink"/>
            <w:rFonts w:ascii="Arial" w:hAnsi="Arial" w:cs="Arial"/>
            <w:noProof/>
          </w:rPr>
          <w:t>2.3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Weight management resources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_Toc205798946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2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6944DF48" w14:textId="181956A5" w:rsidR="001E4146" w:rsidRPr="003350E8" w:rsidRDefault="001E4146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hyperlink w:anchor="_Toc205798947" w:history="1">
        <w:r w:rsidRPr="003350E8">
          <w:rPr>
            <w:rStyle w:val="Hyperlink"/>
          </w:rPr>
          <w:t>3</w:t>
        </w:r>
        <w:r w:rsidRPr="003350E8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Pr="003350E8">
          <w:rPr>
            <w:rStyle w:val="Hyperlink"/>
          </w:rPr>
          <w:t>Service delivery specification</w:t>
        </w:r>
        <w:r w:rsidRPr="003350E8">
          <w:rPr>
            <w:webHidden/>
          </w:rPr>
          <w:tab/>
        </w:r>
        <w:r w:rsidRPr="003350E8">
          <w:rPr>
            <w:webHidden/>
          </w:rPr>
          <w:fldChar w:fldCharType="begin"/>
        </w:r>
        <w:r w:rsidRPr="003350E8">
          <w:rPr>
            <w:webHidden/>
          </w:rPr>
          <w:instrText xml:space="preserve"> PAGEREF _Toc205798947 \h </w:instrText>
        </w:r>
        <w:r w:rsidRPr="003350E8">
          <w:rPr>
            <w:webHidden/>
          </w:rPr>
        </w:r>
        <w:r w:rsidRPr="003350E8">
          <w:rPr>
            <w:webHidden/>
          </w:rPr>
          <w:fldChar w:fldCharType="separate"/>
        </w:r>
        <w:r w:rsidR="003350E8" w:rsidRPr="003350E8">
          <w:rPr>
            <w:webHidden/>
          </w:rPr>
          <w:t>3</w:t>
        </w:r>
        <w:r w:rsidRPr="003350E8">
          <w:rPr>
            <w:webHidden/>
          </w:rPr>
          <w:fldChar w:fldCharType="end"/>
        </w:r>
      </w:hyperlink>
    </w:p>
    <w:p w14:paraId="1236C62B" w14:textId="620292D8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8" w:history="1">
        <w:r w:rsidRPr="003350E8">
          <w:rPr>
            <w:rStyle w:val="Hyperlink"/>
            <w:rFonts w:ascii="Arial" w:hAnsi="Arial" w:cs="Arial"/>
            <w:noProof/>
          </w:rPr>
          <w:t>3.1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General requirements of the enhanced service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_Toc205798948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3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5A5D2082" w14:textId="5AF4F9A7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49" w:history="1">
        <w:r w:rsidRPr="003350E8">
          <w:rPr>
            <w:rStyle w:val="Hyperlink"/>
            <w:rFonts w:ascii="Arial" w:hAnsi="Arial" w:cs="Arial"/>
            <w:noProof/>
          </w:rPr>
          <w:t>3.2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Assessment protocol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_Toc205798949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3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41B5009B" w14:textId="3790812A" w:rsidR="001E4146" w:rsidRPr="003350E8" w:rsidRDefault="001E4146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hyperlink w:anchor="_Toc205798950" w:history="1">
        <w:r w:rsidRPr="003350E8">
          <w:rPr>
            <w:rStyle w:val="Hyperlink"/>
          </w:rPr>
          <w:t>4</w:t>
        </w:r>
        <w:r w:rsidRPr="003350E8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Pr="003350E8">
          <w:rPr>
            <w:rStyle w:val="Hyperlink"/>
          </w:rPr>
          <w:t>Payment and validation</w:t>
        </w:r>
        <w:r w:rsidRPr="003350E8">
          <w:rPr>
            <w:webHidden/>
          </w:rPr>
          <w:tab/>
        </w:r>
        <w:r w:rsidRPr="003350E8">
          <w:rPr>
            <w:webHidden/>
          </w:rPr>
          <w:fldChar w:fldCharType="begin"/>
        </w:r>
        <w:r w:rsidRPr="003350E8">
          <w:rPr>
            <w:webHidden/>
          </w:rPr>
          <w:instrText xml:space="preserve"> PAGEREF _Toc205798950 \h </w:instrText>
        </w:r>
        <w:r w:rsidRPr="003350E8">
          <w:rPr>
            <w:webHidden/>
          </w:rPr>
        </w:r>
        <w:r w:rsidRPr="003350E8">
          <w:rPr>
            <w:webHidden/>
          </w:rPr>
          <w:fldChar w:fldCharType="separate"/>
        </w:r>
        <w:r w:rsidR="003350E8" w:rsidRPr="003350E8">
          <w:rPr>
            <w:webHidden/>
          </w:rPr>
          <w:t>3</w:t>
        </w:r>
        <w:r w:rsidRPr="003350E8">
          <w:rPr>
            <w:webHidden/>
          </w:rPr>
          <w:fldChar w:fldCharType="end"/>
        </w:r>
      </w:hyperlink>
    </w:p>
    <w:p w14:paraId="57E50AEE" w14:textId="00BFAA7B" w:rsidR="001E4146" w:rsidRPr="003350E8" w:rsidRDefault="001E4146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5798951" w:history="1">
        <w:r w:rsidRPr="003350E8">
          <w:rPr>
            <w:rStyle w:val="Hyperlink"/>
            <w:rFonts w:ascii="Arial" w:hAnsi="Arial" w:cs="Arial"/>
            <w:noProof/>
          </w:rPr>
          <w:t>4.1</w:t>
        </w:r>
        <w:r w:rsidRPr="003350E8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3350E8">
          <w:rPr>
            <w:rStyle w:val="Hyperlink"/>
            <w:rFonts w:ascii="Arial" w:hAnsi="Arial" w:cs="Arial"/>
            <w:noProof/>
          </w:rPr>
          <w:t>Payment</w:t>
        </w:r>
        <w:r w:rsidRPr="003350E8">
          <w:rPr>
            <w:rFonts w:ascii="Arial" w:hAnsi="Arial" w:cs="Arial"/>
            <w:noProof/>
            <w:webHidden/>
          </w:rPr>
          <w:tab/>
        </w:r>
        <w:r w:rsidRPr="003350E8">
          <w:rPr>
            <w:rFonts w:ascii="Arial" w:hAnsi="Arial" w:cs="Arial"/>
            <w:noProof/>
            <w:webHidden/>
          </w:rPr>
          <w:fldChar w:fldCharType="begin"/>
        </w:r>
        <w:r w:rsidRPr="003350E8">
          <w:rPr>
            <w:rFonts w:ascii="Arial" w:hAnsi="Arial" w:cs="Arial"/>
            <w:noProof/>
            <w:webHidden/>
          </w:rPr>
          <w:instrText xml:space="preserve"> PAGEREF _Toc205798951 \h </w:instrText>
        </w:r>
        <w:r w:rsidRPr="003350E8">
          <w:rPr>
            <w:rFonts w:ascii="Arial" w:hAnsi="Arial" w:cs="Arial"/>
            <w:noProof/>
            <w:webHidden/>
          </w:rPr>
        </w:r>
        <w:r w:rsidRPr="003350E8">
          <w:rPr>
            <w:rFonts w:ascii="Arial" w:hAnsi="Arial" w:cs="Arial"/>
            <w:noProof/>
            <w:webHidden/>
          </w:rPr>
          <w:fldChar w:fldCharType="separate"/>
        </w:r>
        <w:r w:rsidR="003350E8" w:rsidRPr="003350E8">
          <w:rPr>
            <w:rFonts w:ascii="Arial" w:hAnsi="Arial" w:cs="Arial"/>
            <w:noProof/>
            <w:webHidden/>
          </w:rPr>
          <w:t>3</w:t>
        </w:r>
        <w:r w:rsidRPr="003350E8">
          <w:rPr>
            <w:rFonts w:ascii="Arial" w:hAnsi="Arial" w:cs="Arial"/>
            <w:noProof/>
            <w:webHidden/>
          </w:rPr>
          <w:fldChar w:fldCharType="end"/>
        </w:r>
      </w:hyperlink>
    </w:p>
    <w:p w14:paraId="08E13763" w14:textId="6888178C" w:rsidR="001E4146" w:rsidRPr="003350E8" w:rsidRDefault="001E4146">
      <w:pPr>
        <w:pStyle w:val="TOC1"/>
        <w:rPr>
          <w:rStyle w:val="Hyperlink"/>
        </w:rPr>
      </w:pPr>
      <w:hyperlink w:anchor="_Toc205798952" w:history="1">
        <w:r w:rsidRPr="003350E8">
          <w:rPr>
            <w:rStyle w:val="Hyperlink"/>
          </w:rPr>
          <w:t>Annex A – Protocol to identify and support obese patients</w:t>
        </w:r>
        <w:r w:rsidRPr="003350E8">
          <w:rPr>
            <w:webHidden/>
          </w:rPr>
          <w:tab/>
        </w:r>
        <w:r w:rsidRPr="003350E8">
          <w:rPr>
            <w:webHidden/>
          </w:rPr>
          <w:fldChar w:fldCharType="begin"/>
        </w:r>
        <w:r w:rsidRPr="003350E8">
          <w:rPr>
            <w:webHidden/>
          </w:rPr>
          <w:instrText xml:space="preserve"> PAGEREF _Toc205798952 \h </w:instrText>
        </w:r>
        <w:r w:rsidRPr="003350E8">
          <w:rPr>
            <w:webHidden/>
          </w:rPr>
        </w:r>
        <w:r w:rsidRPr="003350E8">
          <w:rPr>
            <w:webHidden/>
          </w:rPr>
          <w:fldChar w:fldCharType="separate"/>
        </w:r>
        <w:r w:rsidR="003350E8" w:rsidRPr="003350E8">
          <w:rPr>
            <w:webHidden/>
          </w:rPr>
          <w:t>4</w:t>
        </w:r>
        <w:r w:rsidRPr="003350E8">
          <w:rPr>
            <w:webHidden/>
          </w:rPr>
          <w:fldChar w:fldCharType="end"/>
        </w:r>
      </w:hyperlink>
    </w:p>
    <w:p w14:paraId="45408342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12336C92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70DAA60F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121695F1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47C7CE7B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28E8C617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0A932BDF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5C0D9CAD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732B9CB3" w14:textId="77777777" w:rsidR="001E4146" w:rsidRPr="003350E8" w:rsidRDefault="001E4146" w:rsidP="001E4146">
      <w:pPr>
        <w:rPr>
          <w:rFonts w:ascii="Arial" w:eastAsiaTheme="minorEastAsia" w:hAnsi="Arial" w:cs="Arial"/>
          <w:noProof/>
        </w:rPr>
      </w:pPr>
    </w:p>
    <w:p w14:paraId="1B834DE5" w14:textId="43168C29" w:rsidR="00DB64BD" w:rsidRPr="004D2274" w:rsidRDefault="00D85E4D" w:rsidP="00DB64B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E92F6C">
        <w:rPr>
          <w:sz w:val="20"/>
          <w:szCs w:val="28"/>
        </w:rPr>
        <w:lastRenderedPageBreak/>
        <w:fldChar w:fldCharType="end"/>
      </w:r>
      <w:r w:rsidR="00DB64BD" w:rsidRPr="004D2274">
        <w:rPr>
          <w:sz w:val="28"/>
          <w:szCs w:val="28"/>
        </w:rPr>
        <w:t xml:space="preserve"> </w:t>
      </w:r>
      <w:bookmarkStart w:id="0" w:name="_Toc205798940"/>
      <w:r w:rsidR="00DB64BD" w:rsidRPr="004D2274">
        <w:rPr>
          <w:sz w:val="28"/>
          <w:szCs w:val="28"/>
        </w:rPr>
        <w:t>Introduction</w:t>
      </w:r>
      <w:bookmarkEnd w:id="0"/>
    </w:p>
    <w:p w14:paraId="4C3C3D66" w14:textId="580B99C6" w:rsidR="00044905" w:rsidRPr="00E92F6C" w:rsidRDefault="00152CAB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" w:name="_Toc495852825"/>
      <w:bookmarkStart w:id="2" w:name="_Toc205798941"/>
      <w:r>
        <w:rPr>
          <w:rFonts w:ascii="Arial" w:hAnsi="Arial" w:cs="Arial"/>
          <w:smallCaps w:val="0"/>
          <w:sz w:val="24"/>
          <w:szCs w:val="24"/>
          <w:lang w:val="en-GB"/>
        </w:rPr>
        <w:t>Guidance</w:t>
      </w:r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 w:rsidR="00044905" w:rsidRPr="00E92F6C">
        <w:rPr>
          <w:rFonts w:ascii="Arial" w:hAnsi="Arial" w:cs="Arial"/>
          <w:smallCaps w:val="0"/>
          <w:sz w:val="24"/>
          <w:szCs w:val="24"/>
          <w:lang w:val="en-GB"/>
        </w:rPr>
        <w:t>statement</w:t>
      </w:r>
      <w:bookmarkEnd w:id="1"/>
      <w:bookmarkEnd w:id="2"/>
    </w:p>
    <w:p w14:paraId="121F9C13" w14:textId="0E7F0ECC" w:rsidR="009E44EC" w:rsidRPr="00E92F6C" w:rsidRDefault="009E44EC" w:rsidP="009E44EC"/>
    <w:p w14:paraId="6944EB14" w14:textId="1D4B8D86" w:rsidR="00684965" w:rsidRPr="00E92F6C" w:rsidRDefault="00532578" w:rsidP="00B92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organisation</w:t>
      </w:r>
      <w:r w:rsidR="00EE56BE">
        <w:rPr>
          <w:rFonts w:ascii="Arial" w:hAnsi="Arial" w:cs="Arial"/>
          <w:sz w:val="22"/>
          <w:szCs w:val="22"/>
        </w:rPr>
        <w:t xml:space="preserve"> </w:t>
      </w:r>
      <w:r w:rsidR="004807F4" w:rsidRPr="00E92F6C">
        <w:rPr>
          <w:rFonts w:ascii="Arial" w:hAnsi="Arial" w:cs="Arial"/>
          <w:sz w:val="22"/>
          <w:szCs w:val="22"/>
        </w:rPr>
        <w:t>ha</w:t>
      </w:r>
      <w:r w:rsidR="00350BDD" w:rsidRPr="00E92F6C">
        <w:rPr>
          <w:rFonts w:ascii="Arial" w:hAnsi="Arial" w:cs="Arial"/>
          <w:sz w:val="22"/>
          <w:szCs w:val="22"/>
        </w:rPr>
        <w:t>s</w:t>
      </w:r>
      <w:r w:rsidR="004807F4" w:rsidRPr="00E92F6C">
        <w:rPr>
          <w:rFonts w:ascii="Arial" w:hAnsi="Arial" w:cs="Arial"/>
          <w:sz w:val="22"/>
          <w:szCs w:val="22"/>
        </w:rPr>
        <w:t xml:space="preserve"> agreed to sign up to th</w:t>
      </w:r>
      <w:r w:rsidR="00EE56BE">
        <w:rPr>
          <w:rFonts w:ascii="Arial" w:hAnsi="Arial" w:cs="Arial"/>
          <w:sz w:val="22"/>
          <w:szCs w:val="22"/>
        </w:rPr>
        <w:t xml:space="preserve">e </w:t>
      </w:r>
      <w:hyperlink r:id="rId8" w:history="1">
        <w:r w:rsidR="00EE56BE" w:rsidRPr="00532578">
          <w:rPr>
            <w:rStyle w:val="Hyperlink"/>
            <w:rFonts w:ascii="Arial" w:hAnsi="Arial" w:cs="Arial"/>
            <w:sz w:val="22"/>
            <w:szCs w:val="22"/>
          </w:rPr>
          <w:t>Enhanced S</w:t>
        </w:r>
        <w:r w:rsidR="00EE56BE" w:rsidRPr="00532578">
          <w:rPr>
            <w:rStyle w:val="Hyperlink"/>
            <w:rFonts w:ascii="Arial" w:hAnsi="Arial" w:cs="Arial"/>
            <w:sz w:val="22"/>
            <w:szCs w:val="22"/>
          </w:rPr>
          <w:t>e</w:t>
        </w:r>
        <w:r w:rsidR="00EE56BE" w:rsidRPr="00532578">
          <w:rPr>
            <w:rStyle w:val="Hyperlink"/>
            <w:rFonts w:ascii="Arial" w:hAnsi="Arial" w:cs="Arial"/>
            <w:sz w:val="22"/>
            <w:szCs w:val="22"/>
          </w:rPr>
          <w:t xml:space="preserve">rvice Specification – Weight Management </w:t>
        </w:r>
        <w:r w:rsidRPr="00532578">
          <w:rPr>
            <w:rStyle w:val="Hyperlink"/>
            <w:rFonts w:ascii="Arial" w:hAnsi="Arial" w:cs="Arial"/>
            <w:sz w:val="22"/>
            <w:szCs w:val="22"/>
          </w:rPr>
          <w:t>2025/26</w:t>
        </w:r>
      </w:hyperlink>
      <w:r w:rsidR="00EE56BE">
        <w:rPr>
          <w:rFonts w:ascii="Arial" w:hAnsi="Arial" w:cs="Arial"/>
          <w:sz w:val="22"/>
          <w:szCs w:val="22"/>
        </w:rPr>
        <w:t xml:space="preserve">. Section </w:t>
      </w:r>
      <w:r w:rsidR="000B02D2">
        <w:rPr>
          <w:rFonts w:ascii="Arial" w:hAnsi="Arial" w:cs="Arial"/>
          <w:sz w:val="22"/>
          <w:szCs w:val="22"/>
        </w:rPr>
        <w:t>6.3</w:t>
      </w:r>
      <w:r w:rsidR="00EE56BE">
        <w:rPr>
          <w:rFonts w:ascii="Arial" w:hAnsi="Arial" w:cs="Arial"/>
          <w:sz w:val="22"/>
          <w:szCs w:val="22"/>
        </w:rPr>
        <w:t xml:space="preserve"> of the enhanced service (ES) outlines what this organisation is required to do</w:t>
      </w:r>
      <w:r w:rsidR="000B02D2">
        <w:rPr>
          <w:rFonts w:ascii="Arial" w:hAnsi="Arial" w:cs="Arial"/>
          <w:sz w:val="22"/>
          <w:szCs w:val="22"/>
        </w:rPr>
        <w:t xml:space="preserve"> to identify and support people living with obesity.</w:t>
      </w:r>
      <w:r>
        <w:rPr>
          <w:rFonts w:ascii="Arial" w:hAnsi="Arial" w:cs="Arial"/>
          <w:sz w:val="22"/>
          <w:szCs w:val="22"/>
        </w:rPr>
        <w:t xml:space="preserve"> </w:t>
      </w:r>
      <w:r w:rsidR="00684965" w:rsidRPr="00E92F6C">
        <w:rPr>
          <w:rFonts w:ascii="Arial" w:hAnsi="Arial" w:cs="Arial"/>
          <w:sz w:val="22"/>
          <w:szCs w:val="22"/>
        </w:rPr>
        <w:t>This document has been produced to provide all staff</w:t>
      </w:r>
      <w:r w:rsidR="000B02D2">
        <w:rPr>
          <w:rFonts w:ascii="Arial" w:hAnsi="Arial" w:cs="Arial"/>
          <w:sz w:val="22"/>
          <w:szCs w:val="22"/>
        </w:rPr>
        <w:t xml:space="preserve"> at this organisation </w:t>
      </w:r>
      <w:r w:rsidR="00684965" w:rsidRPr="00E92F6C">
        <w:rPr>
          <w:rFonts w:ascii="Arial" w:hAnsi="Arial" w:cs="Arial"/>
          <w:sz w:val="22"/>
          <w:szCs w:val="22"/>
        </w:rPr>
        <w:t>with the necessary information to ensure that the weight management service being offered to patients is appropriate to their needs</w:t>
      </w:r>
      <w:r w:rsidR="000B02D2">
        <w:rPr>
          <w:rFonts w:ascii="Arial" w:hAnsi="Arial" w:cs="Arial"/>
          <w:sz w:val="22"/>
          <w:szCs w:val="22"/>
        </w:rPr>
        <w:t>.</w:t>
      </w:r>
    </w:p>
    <w:p w14:paraId="030917FC" w14:textId="6F4CABCF" w:rsidR="00044905" w:rsidRPr="00E92F6C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" w:name="_Toc80008330"/>
      <w:bookmarkStart w:id="4" w:name="_Toc495852828"/>
      <w:bookmarkStart w:id="5" w:name="_Toc205798942"/>
      <w:bookmarkEnd w:id="3"/>
      <w:r w:rsidRPr="00E92F6C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E92F6C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4"/>
      <w:bookmarkEnd w:id="5"/>
    </w:p>
    <w:p w14:paraId="09B76E04" w14:textId="77777777" w:rsidR="004F0138" w:rsidRPr="00E92F6C" w:rsidRDefault="004F0138" w:rsidP="00E92F6C">
      <w:pPr>
        <w:rPr>
          <w:rFonts w:ascii="Arial" w:hAnsi="Arial" w:cs="Arial"/>
          <w:smallCaps/>
          <w:sz w:val="22"/>
          <w:szCs w:val="22"/>
        </w:rPr>
      </w:pPr>
    </w:p>
    <w:p w14:paraId="46F0D4DE" w14:textId="77777777" w:rsidR="00532578" w:rsidRPr="00532578" w:rsidRDefault="00532578" w:rsidP="00532578">
      <w:pPr>
        <w:rPr>
          <w:rFonts w:ascii="Arial" w:hAnsi="Arial" w:cs="Arial"/>
          <w:sz w:val="22"/>
          <w:szCs w:val="22"/>
        </w:rPr>
      </w:pPr>
      <w:bookmarkStart w:id="6" w:name="_Definition_of_terms"/>
      <w:bookmarkEnd w:id="6"/>
      <w:r w:rsidRPr="00532578">
        <w:rPr>
          <w:rFonts w:ascii="Arial" w:hAnsi="Arial" w:cs="Arial"/>
          <w:sz w:val="22"/>
          <w:szCs w:val="22"/>
        </w:rPr>
        <w:t xml:space="preserve">In accordance with the </w:t>
      </w:r>
      <w:hyperlink r:id="rId9" w:history="1">
        <w:r w:rsidRPr="00532578">
          <w:rPr>
            <w:rStyle w:val="Hyperlink"/>
            <w:rFonts w:ascii="Arial" w:eastAsiaTheme="majorEastAsia" w:hAnsi="Arial" w:cs="Arial"/>
            <w:sz w:val="22"/>
            <w:szCs w:val="22"/>
          </w:rPr>
          <w:t>Equality Act 2010</w:t>
        </w:r>
      </w:hyperlink>
      <w:r w:rsidRPr="00532578">
        <w:rPr>
          <w:rFonts w:ascii="Arial" w:hAnsi="Arial" w:cs="Arial"/>
          <w:sz w:val="22"/>
          <w:szCs w:val="22"/>
        </w:rPr>
        <w:t>, we have considered how provisions within this policy might impact on different groups and individuals. This document and any procedures contained within it are non-contractual, which means they may be modified or withdrawn at any time. They apply to all employees and contractors working for the organisation.</w:t>
      </w:r>
    </w:p>
    <w:p w14:paraId="7654DD43" w14:textId="19F637E7" w:rsidR="00631A5F" w:rsidRPr="004D2274" w:rsidRDefault="000B02D2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205798943"/>
      <w:r>
        <w:rPr>
          <w:sz w:val="28"/>
          <w:szCs w:val="28"/>
        </w:rPr>
        <w:t>General guidance</w:t>
      </w:r>
      <w:bookmarkEnd w:id="7"/>
    </w:p>
    <w:p w14:paraId="02BF4106" w14:textId="07350587" w:rsidR="00631A5F" w:rsidRPr="00E92F6C" w:rsidRDefault="004E5777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8" w:name="_Toc205798944"/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Obesity </w:t>
      </w:r>
      <w:r w:rsidR="00601D1B" w:rsidRPr="00E92F6C">
        <w:rPr>
          <w:rFonts w:ascii="Arial" w:hAnsi="Arial" w:cs="Arial"/>
          <w:smallCaps w:val="0"/>
          <w:sz w:val="24"/>
          <w:szCs w:val="24"/>
          <w:lang w:val="en-GB"/>
        </w:rPr>
        <w:t>r</w:t>
      </w:r>
      <w:r w:rsidRPr="00E92F6C">
        <w:rPr>
          <w:rFonts w:ascii="Arial" w:hAnsi="Arial" w:cs="Arial"/>
          <w:smallCaps w:val="0"/>
          <w:sz w:val="24"/>
          <w:szCs w:val="24"/>
          <w:lang w:val="en-GB"/>
        </w:rPr>
        <w:t>egister</w:t>
      </w:r>
      <w:bookmarkEnd w:id="8"/>
    </w:p>
    <w:p w14:paraId="73169CE3" w14:textId="5388E89D" w:rsidR="00FB6159" w:rsidRDefault="005A695F" w:rsidP="004D3CFB">
      <w:pPr>
        <w:pStyle w:val="NormalWeb"/>
        <w:rPr>
          <w:rFonts w:ascii="Arial" w:hAnsi="Arial" w:cs="Arial"/>
          <w:sz w:val="22"/>
          <w:szCs w:val="22"/>
        </w:rPr>
      </w:pPr>
      <w:r w:rsidRPr="004D2274">
        <w:rPr>
          <w:rFonts w:ascii="Arial" w:hAnsi="Arial" w:cs="Arial"/>
          <w:sz w:val="22"/>
          <w:szCs w:val="22"/>
        </w:rPr>
        <w:t>The</w:t>
      </w:r>
      <w:r w:rsidR="00232556" w:rsidRPr="004D2274">
        <w:rPr>
          <w:rFonts w:ascii="Arial" w:hAnsi="Arial" w:cs="Arial"/>
          <w:sz w:val="22"/>
          <w:szCs w:val="22"/>
        </w:rPr>
        <w:t xml:space="preserve"> o</w:t>
      </w:r>
      <w:r w:rsidR="004E5777" w:rsidRPr="004D2274">
        <w:rPr>
          <w:rFonts w:ascii="Arial" w:hAnsi="Arial" w:cs="Arial"/>
          <w:sz w:val="22"/>
          <w:szCs w:val="22"/>
        </w:rPr>
        <w:t>rganisation</w:t>
      </w:r>
      <w:r w:rsidR="00232556" w:rsidRPr="004D2274">
        <w:rPr>
          <w:rFonts w:ascii="Arial" w:hAnsi="Arial" w:cs="Arial"/>
          <w:sz w:val="22"/>
          <w:szCs w:val="22"/>
        </w:rPr>
        <w:t>’</w:t>
      </w:r>
      <w:r w:rsidR="00FB6159" w:rsidRPr="004D2274">
        <w:rPr>
          <w:rFonts w:ascii="Arial" w:hAnsi="Arial" w:cs="Arial"/>
          <w:sz w:val="22"/>
          <w:szCs w:val="22"/>
        </w:rPr>
        <w:t>s</w:t>
      </w:r>
      <w:r w:rsidR="004E5777" w:rsidRPr="004D2274">
        <w:rPr>
          <w:rFonts w:ascii="Arial" w:hAnsi="Arial" w:cs="Arial"/>
          <w:sz w:val="22"/>
          <w:szCs w:val="22"/>
        </w:rPr>
        <w:t xml:space="preserve"> </w:t>
      </w:r>
      <w:r w:rsidR="00232556" w:rsidRPr="004D2274">
        <w:rPr>
          <w:rFonts w:ascii="Arial" w:hAnsi="Arial" w:cs="Arial"/>
          <w:sz w:val="22"/>
          <w:szCs w:val="22"/>
        </w:rPr>
        <w:t xml:space="preserve">obesity register </w:t>
      </w:r>
      <w:r w:rsidR="004E5777" w:rsidRPr="004D2274">
        <w:rPr>
          <w:rFonts w:ascii="Arial" w:hAnsi="Arial" w:cs="Arial"/>
          <w:sz w:val="22"/>
          <w:szCs w:val="22"/>
        </w:rPr>
        <w:t>is its list of patients aged</w:t>
      </w:r>
      <w:r w:rsidR="00FB6159" w:rsidRPr="004D2274">
        <w:rPr>
          <w:rFonts w:ascii="Arial" w:hAnsi="Arial" w:cs="Arial"/>
          <w:sz w:val="22"/>
          <w:szCs w:val="22"/>
        </w:rPr>
        <w:t xml:space="preserve"> </w:t>
      </w:r>
      <w:r w:rsidR="004E5777" w:rsidRPr="004D2274">
        <w:rPr>
          <w:rFonts w:ascii="Arial" w:hAnsi="Arial" w:cs="Arial"/>
          <w:sz w:val="22"/>
          <w:szCs w:val="22"/>
        </w:rPr>
        <w:t xml:space="preserve">18 years or over with a </w:t>
      </w:r>
      <w:r w:rsidR="004E5777" w:rsidRPr="00E92F6C">
        <w:rPr>
          <w:rFonts w:ascii="Arial" w:hAnsi="Arial" w:cs="Arial"/>
          <w:sz w:val="22"/>
          <w:szCs w:val="22"/>
        </w:rPr>
        <w:t xml:space="preserve">BMI </w:t>
      </w:r>
      <w:r w:rsidR="004E5777" w:rsidRPr="00E92F6C">
        <w:rPr>
          <w:rFonts w:ascii="Arial" w:hAnsi="Arial" w:cs="Arial"/>
          <w:sz w:val="22"/>
          <w:szCs w:val="22"/>
          <w:u w:val="single"/>
        </w:rPr>
        <w:t>&gt;</w:t>
      </w:r>
      <w:r w:rsidR="004E5777" w:rsidRPr="00E92F6C">
        <w:rPr>
          <w:rFonts w:ascii="Arial" w:hAnsi="Arial" w:cs="Arial"/>
          <w:sz w:val="22"/>
          <w:szCs w:val="22"/>
        </w:rPr>
        <w:t xml:space="preserve"> 30 or </w:t>
      </w:r>
      <w:r w:rsidR="004E5777" w:rsidRPr="00E92F6C">
        <w:rPr>
          <w:rFonts w:ascii="Arial" w:hAnsi="Arial" w:cs="Arial"/>
          <w:sz w:val="22"/>
          <w:szCs w:val="22"/>
          <w:u w:val="single"/>
        </w:rPr>
        <w:t>&gt;</w:t>
      </w:r>
      <w:r w:rsidR="004E5777" w:rsidRPr="00E92F6C">
        <w:rPr>
          <w:rFonts w:ascii="Arial" w:hAnsi="Arial" w:cs="Arial"/>
          <w:sz w:val="22"/>
          <w:szCs w:val="22"/>
        </w:rPr>
        <w:t xml:space="preserve"> 27.5 for those </w:t>
      </w:r>
      <w:r w:rsidR="00341E78" w:rsidRPr="00E92F6C">
        <w:rPr>
          <w:rFonts w:ascii="Arial" w:hAnsi="Arial" w:cs="Arial"/>
          <w:color w:val="1D1C1D"/>
          <w:sz w:val="22"/>
          <w:szCs w:val="22"/>
          <w:shd w:val="clear" w:color="auto" w:fill="F8F8F8"/>
        </w:rPr>
        <w:t xml:space="preserve">people from ethnic minority backgrounds </w:t>
      </w:r>
      <w:r w:rsidR="002E79AD" w:rsidRPr="00E92F6C">
        <w:rPr>
          <w:rFonts w:ascii="Arial" w:hAnsi="Arial" w:cs="Arial"/>
          <w:sz w:val="22"/>
          <w:szCs w:val="22"/>
        </w:rPr>
        <w:t>in the preceding 12 months</w:t>
      </w:r>
      <w:r w:rsidR="007E595E" w:rsidRPr="00E92F6C">
        <w:rPr>
          <w:rFonts w:ascii="Arial" w:hAnsi="Arial" w:cs="Arial"/>
          <w:sz w:val="22"/>
          <w:szCs w:val="22"/>
        </w:rPr>
        <w:t>.</w:t>
      </w:r>
    </w:p>
    <w:p w14:paraId="3E249051" w14:textId="14492D6D" w:rsidR="0028394A" w:rsidRPr="00E92F6C" w:rsidRDefault="00D9315C" w:rsidP="0028394A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9" w:name="_Toc205798945"/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Weight </w:t>
      </w:r>
      <w:r w:rsidR="00232556" w:rsidRPr="00E92F6C">
        <w:rPr>
          <w:rFonts w:ascii="Arial" w:hAnsi="Arial" w:cs="Arial"/>
          <w:smallCaps w:val="0"/>
          <w:sz w:val="24"/>
          <w:szCs w:val="24"/>
          <w:lang w:val="en-GB"/>
        </w:rPr>
        <w:t>management services/acceptable referrals</w:t>
      </w:r>
      <w:bookmarkEnd w:id="9"/>
      <w:r w:rsidR="00232556"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</w:p>
    <w:p w14:paraId="1BE583E6" w14:textId="33423292" w:rsidR="0028394A" w:rsidRPr="00E92F6C" w:rsidRDefault="0028394A" w:rsidP="0028394A"/>
    <w:p w14:paraId="14745C70" w14:textId="782BEA57" w:rsidR="0028394A" w:rsidRPr="00532578" w:rsidRDefault="00E05821" w:rsidP="0028394A">
      <w:pPr>
        <w:rPr>
          <w:rFonts w:ascii="Arial" w:hAnsi="Arial" w:cs="Arial"/>
          <w:sz w:val="22"/>
          <w:szCs w:val="22"/>
        </w:rPr>
      </w:pPr>
      <w:r w:rsidRPr="00532578">
        <w:rPr>
          <w:rFonts w:ascii="Arial" w:hAnsi="Arial" w:cs="Arial"/>
          <w:sz w:val="22"/>
          <w:szCs w:val="22"/>
        </w:rPr>
        <w:t xml:space="preserve">The referral process and what constitutes an acceptable referral </w:t>
      </w:r>
      <w:r w:rsidR="00283D8F" w:rsidRPr="00532578">
        <w:rPr>
          <w:rFonts w:ascii="Arial" w:hAnsi="Arial" w:cs="Arial"/>
          <w:sz w:val="22"/>
          <w:szCs w:val="22"/>
        </w:rPr>
        <w:t>are</w:t>
      </w:r>
      <w:r w:rsidRPr="00532578">
        <w:rPr>
          <w:rFonts w:ascii="Arial" w:hAnsi="Arial" w:cs="Arial"/>
          <w:sz w:val="22"/>
          <w:szCs w:val="22"/>
        </w:rPr>
        <w:t xml:space="preserve"> outlined in Component 2: patient support and referral of the </w:t>
      </w:r>
      <w:hyperlink r:id="rId10" w:history="1">
        <w:r w:rsidRPr="00532578">
          <w:rPr>
            <w:rStyle w:val="Hyperlink"/>
            <w:rFonts w:ascii="Arial" w:hAnsi="Arial" w:cs="Arial"/>
            <w:sz w:val="22"/>
            <w:szCs w:val="22"/>
          </w:rPr>
          <w:t>ES spec</w:t>
        </w:r>
        <w:r w:rsidRPr="00532578">
          <w:rPr>
            <w:rStyle w:val="Hyperlink"/>
            <w:rFonts w:ascii="Arial" w:hAnsi="Arial" w:cs="Arial"/>
            <w:sz w:val="22"/>
            <w:szCs w:val="22"/>
          </w:rPr>
          <w:t>i</w:t>
        </w:r>
        <w:r w:rsidRPr="00532578">
          <w:rPr>
            <w:rStyle w:val="Hyperlink"/>
            <w:rFonts w:ascii="Arial" w:hAnsi="Arial" w:cs="Arial"/>
            <w:sz w:val="22"/>
            <w:szCs w:val="22"/>
          </w:rPr>
          <w:t>fication</w:t>
        </w:r>
      </w:hyperlink>
      <w:r w:rsidRPr="00532578">
        <w:rPr>
          <w:rFonts w:ascii="Arial" w:hAnsi="Arial" w:cs="Arial"/>
          <w:sz w:val="22"/>
          <w:szCs w:val="22"/>
        </w:rPr>
        <w:t>.</w:t>
      </w:r>
      <w:r w:rsidR="00532578" w:rsidRPr="00532578">
        <w:rPr>
          <w:rFonts w:ascii="Arial" w:hAnsi="Arial" w:cs="Arial"/>
          <w:sz w:val="22"/>
          <w:szCs w:val="22"/>
        </w:rPr>
        <w:t xml:space="preserve"> Referral allocation is based on the number of patients on the organisation’s obesity register as at 31 March the preceding year. This referral allocation will be a minimum of 9.5% of the number of patients on the register.</w:t>
      </w:r>
    </w:p>
    <w:p w14:paraId="25B415F4" w14:textId="50DAD1B6" w:rsidR="005F564B" w:rsidRPr="00E92F6C" w:rsidRDefault="0039638F" w:rsidP="005F564B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0" w:name="_Toc78125081"/>
      <w:bookmarkStart w:id="11" w:name="_Toc78193560"/>
      <w:bookmarkStart w:id="12" w:name="_Toc78193649"/>
      <w:bookmarkStart w:id="13" w:name="_Toc78201555"/>
      <w:bookmarkStart w:id="14" w:name="_Toc80006735"/>
      <w:bookmarkStart w:id="15" w:name="_Toc80008340"/>
      <w:bookmarkStart w:id="16" w:name="_Weight_Management_Resources"/>
      <w:bookmarkStart w:id="17" w:name="_Toc205798946"/>
      <w:bookmarkEnd w:id="10"/>
      <w:bookmarkEnd w:id="11"/>
      <w:bookmarkEnd w:id="12"/>
      <w:bookmarkEnd w:id="13"/>
      <w:bookmarkEnd w:id="14"/>
      <w:bookmarkEnd w:id="15"/>
      <w:bookmarkEnd w:id="16"/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Weight </w:t>
      </w:r>
      <w:r w:rsidR="00232556" w:rsidRPr="00E92F6C">
        <w:rPr>
          <w:rFonts w:ascii="Arial" w:hAnsi="Arial" w:cs="Arial"/>
          <w:smallCaps w:val="0"/>
          <w:sz w:val="24"/>
          <w:szCs w:val="24"/>
          <w:lang w:val="en-GB"/>
        </w:rPr>
        <w:t>management resources</w:t>
      </w:r>
      <w:bookmarkEnd w:id="17"/>
    </w:p>
    <w:p w14:paraId="6D7AFEF3" w14:textId="77777777" w:rsidR="005F564B" w:rsidRPr="00E92F6C" w:rsidRDefault="005F564B" w:rsidP="005F564B">
      <w:pPr>
        <w:rPr>
          <w:rFonts w:ascii="Arial" w:hAnsi="Arial" w:cs="Arial"/>
          <w:sz w:val="22"/>
          <w:szCs w:val="22"/>
        </w:rPr>
      </w:pPr>
    </w:p>
    <w:p w14:paraId="49FF6E77" w14:textId="6737451E" w:rsidR="0039638F" w:rsidRPr="004D2274" w:rsidRDefault="0039638F" w:rsidP="004A334C">
      <w:pPr>
        <w:rPr>
          <w:rFonts w:ascii="Arial" w:hAnsi="Arial" w:cs="Arial"/>
          <w:b/>
          <w:bCs/>
          <w:smallCaps/>
          <w:sz w:val="22"/>
          <w:szCs w:val="22"/>
        </w:rPr>
      </w:pPr>
      <w:r w:rsidRPr="00E92F6C">
        <w:rPr>
          <w:rFonts w:ascii="Arial" w:hAnsi="Arial" w:cs="Arial"/>
          <w:sz w:val="22"/>
          <w:szCs w:val="22"/>
        </w:rPr>
        <w:t xml:space="preserve">Weight </w:t>
      </w:r>
      <w:r w:rsidR="00232556" w:rsidRPr="00E92F6C">
        <w:rPr>
          <w:rFonts w:ascii="Arial" w:hAnsi="Arial" w:cs="Arial"/>
          <w:sz w:val="22"/>
          <w:szCs w:val="22"/>
        </w:rPr>
        <w:t>m</w:t>
      </w:r>
      <w:r w:rsidR="00CB0D3B" w:rsidRPr="00E92F6C">
        <w:rPr>
          <w:rFonts w:ascii="Arial" w:hAnsi="Arial" w:cs="Arial"/>
          <w:sz w:val="22"/>
          <w:szCs w:val="22"/>
        </w:rPr>
        <w:t>anagement</w:t>
      </w:r>
      <w:r w:rsidRPr="00E92F6C">
        <w:rPr>
          <w:rFonts w:ascii="Arial" w:hAnsi="Arial" w:cs="Arial"/>
          <w:sz w:val="22"/>
          <w:szCs w:val="22"/>
        </w:rPr>
        <w:t xml:space="preserve"> resources include:</w:t>
      </w:r>
    </w:p>
    <w:p w14:paraId="221441CC" w14:textId="77777777" w:rsidR="008850C3" w:rsidRPr="004D2274" w:rsidRDefault="008850C3" w:rsidP="004A334C">
      <w:pPr>
        <w:rPr>
          <w:b/>
          <w:bCs/>
          <w:smallCaps/>
        </w:rPr>
      </w:pPr>
    </w:p>
    <w:p w14:paraId="0C0AD5CD" w14:textId="0A09D6FE" w:rsidR="00A04A14" w:rsidRPr="00532578" w:rsidRDefault="00532578" w:rsidP="00A04A14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hyperlink r:id="rId11" w:history="1">
        <w:proofErr w:type="spellStart"/>
        <w:r>
          <w:rPr>
            <w:rStyle w:val="Hyperlink"/>
            <w:rFonts w:ascii="Arial" w:eastAsiaTheme="majorEastAsia" w:hAnsi="Arial" w:cs="Arial"/>
          </w:rPr>
          <w:t>eLfH</w:t>
        </w:r>
        <w:proofErr w:type="spellEnd"/>
        <w:r>
          <w:rPr>
            <w:rStyle w:val="Hyperlink"/>
            <w:rFonts w:ascii="Arial" w:eastAsiaTheme="majorEastAsia" w:hAnsi="Arial" w:cs="Arial"/>
          </w:rPr>
          <w:t>: Making Every Contact Count</w:t>
        </w:r>
      </w:hyperlink>
    </w:p>
    <w:p w14:paraId="3B0D6E79" w14:textId="77777777" w:rsidR="00A04A14" w:rsidRPr="00532578" w:rsidRDefault="00A04A14" w:rsidP="00A04A14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hyperlink r:id="rId12" w:history="1">
        <w:r w:rsidRPr="00532578">
          <w:rPr>
            <w:rStyle w:val="Hyperlink"/>
            <w:rFonts w:ascii="Arial" w:eastAsiaTheme="majorEastAsia" w:hAnsi="Arial" w:cs="Arial"/>
          </w:rPr>
          <w:t>Guidance for Commissioners and Providers (Tier 2)</w:t>
        </w:r>
      </w:hyperlink>
    </w:p>
    <w:p w14:paraId="038E84BE" w14:textId="77777777" w:rsidR="00A04A14" w:rsidRPr="00532578" w:rsidRDefault="00A04A14" w:rsidP="00A04A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3" w:history="1">
        <w:r w:rsidRPr="00532578">
          <w:rPr>
            <w:rStyle w:val="Hyperlink"/>
            <w:rFonts w:ascii="Arial" w:eastAsiaTheme="majorEastAsia" w:hAnsi="Arial" w:cs="Arial"/>
          </w:rPr>
          <w:t>Moving Healthcare Professionals programme</w:t>
        </w:r>
      </w:hyperlink>
    </w:p>
    <w:p w14:paraId="01A840AC" w14:textId="116E676B" w:rsidR="002127C6" w:rsidRPr="00532578" w:rsidRDefault="00532578" w:rsidP="002127C6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hyperlink r:id="rId14" w:history="1">
        <w:r w:rsidRPr="00532578">
          <w:rPr>
            <w:rStyle w:val="Hyperlink"/>
            <w:rFonts w:ascii="Arial" w:eastAsiaTheme="majorEastAsia" w:hAnsi="Arial" w:cs="Arial"/>
          </w:rPr>
          <w:t>NICE</w:t>
        </w:r>
        <w:r w:rsidRPr="00532578">
          <w:rPr>
            <w:rStyle w:val="Hyperlink"/>
            <w:rFonts w:ascii="Arial" w:hAnsi="Arial" w:cs="Arial"/>
          </w:rPr>
          <w:t xml:space="preserve"> Guideline NG246 Overweight and obesity management</w:t>
        </w:r>
      </w:hyperlink>
      <w:r w:rsidRPr="00532578">
        <w:rPr>
          <w:rFonts w:ascii="Arial" w:hAnsi="Arial" w:cs="Arial"/>
        </w:rPr>
        <w:t xml:space="preserve"> </w:t>
      </w:r>
    </w:p>
    <w:p w14:paraId="70BF843F" w14:textId="03FA1936" w:rsidR="006A3590" w:rsidRPr="00532578" w:rsidRDefault="00532578" w:rsidP="00F1163C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hyperlink r:id="rId15" w:history="1">
        <w:r w:rsidRPr="00532578">
          <w:rPr>
            <w:rStyle w:val="Hyperlink"/>
            <w:rFonts w:ascii="Arial" w:eastAsiaTheme="majorEastAsia" w:hAnsi="Arial" w:cs="Arial"/>
          </w:rPr>
          <w:t>NICE</w:t>
        </w:r>
        <w:r w:rsidRPr="00532578">
          <w:rPr>
            <w:rStyle w:val="Hyperlink"/>
            <w:rFonts w:ascii="Arial" w:hAnsi="Arial" w:cs="Arial"/>
          </w:rPr>
          <w:t xml:space="preserve"> Quality standard 212 Overweight and obesity management</w:t>
        </w:r>
      </w:hyperlink>
    </w:p>
    <w:p w14:paraId="6C9F1F07" w14:textId="77777777" w:rsidR="00A04A14" w:rsidRPr="00532578" w:rsidRDefault="00A04A14" w:rsidP="00A04A14">
      <w:pPr>
        <w:pStyle w:val="ListParagraph"/>
        <w:numPr>
          <w:ilvl w:val="0"/>
          <w:numId w:val="3"/>
        </w:numPr>
        <w:rPr>
          <w:rStyle w:val="Hyperlink"/>
          <w:rFonts w:ascii="Arial" w:eastAsiaTheme="majorEastAsia" w:hAnsi="Arial" w:cs="Arial"/>
          <w:color w:val="auto"/>
          <w:u w:val="none"/>
        </w:rPr>
      </w:pPr>
      <w:hyperlink r:id="rId16" w:history="1">
        <w:r w:rsidRPr="00532578">
          <w:rPr>
            <w:rStyle w:val="Hyperlink"/>
            <w:rFonts w:ascii="Arial" w:eastAsiaTheme="majorEastAsia" w:hAnsi="Arial" w:cs="Arial"/>
          </w:rPr>
          <w:t>Public Health England’s Let’s Talk About Weight</w:t>
        </w:r>
      </w:hyperlink>
    </w:p>
    <w:p w14:paraId="0B67DE0B" w14:textId="7F45CA3B" w:rsidR="007C741E" w:rsidRPr="00532578" w:rsidRDefault="007C741E" w:rsidP="00A04A14">
      <w:pPr>
        <w:pStyle w:val="ListParagraph"/>
        <w:numPr>
          <w:ilvl w:val="0"/>
          <w:numId w:val="3"/>
        </w:numPr>
        <w:rPr>
          <w:rStyle w:val="Hyperlink"/>
          <w:rFonts w:ascii="Arial" w:eastAsiaTheme="majorEastAsia" w:hAnsi="Arial" w:cs="Arial"/>
          <w:color w:val="auto"/>
          <w:u w:val="none"/>
        </w:rPr>
      </w:pPr>
      <w:r w:rsidRPr="00532578">
        <w:rPr>
          <w:rStyle w:val="Hyperlink"/>
          <w:rFonts w:ascii="Arial" w:eastAsiaTheme="majorEastAsia" w:hAnsi="Arial" w:cs="Arial"/>
        </w:rPr>
        <w:t>The NHS Digital Weight Management Programme</w:t>
      </w:r>
    </w:p>
    <w:p w14:paraId="5C223A68" w14:textId="71004C7E" w:rsidR="007C741E" w:rsidRPr="00532578" w:rsidRDefault="007C741E" w:rsidP="00A04A14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hyperlink r:id="rId17" w:history="1">
        <w:r w:rsidRPr="00532578">
          <w:rPr>
            <w:rStyle w:val="Hyperlink"/>
            <w:rFonts w:ascii="Arial" w:hAnsi="Arial" w:cs="Arial"/>
          </w:rPr>
          <w:t>Supportive and effective conversations about weight management referrals</w:t>
        </w:r>
      </w:hyperlink>
      <w:r w:rsidRPr="00532578">
        <w:rPr>
          <w:rStyle w:val="Hyperlink"/>
          <w:rFonts w:ascii="Arial" w:hAnsi="Arial" w:cs="Arial"/>
        </w:rPr>
        <w:t xml:space="preserve"> (</w:t>
      </w:r>
      <w:r w:rsidR="00283D8F" w:rsidRPr="00532578">
        <w:rPr>
          <w:rStyle w:val="Hyperlink"/>
          <w:rFonts w:ascii="Arial" w:hAnsi="Arial" w:cs="Arial"/>
        </w:rPr>
        <w:t>v</w:t>
      </w:r>
      <w:r w:rsidRPr="00532578">
        <w:rPr>
          <w:rStyle w:val="Hyperlink"/>
          <w:rFonts w:ascii="Arial" w:hAnsi="Arial" w:cs="Arial"/>
        </w:rPr>
        <w:t xml:space="preserve">ideo </w:t>
      </w:r>
      <w:r w:rsidR="00283D8F" w:rsidRPr="00532578">
        <w:rPr>
          <w:rStyle w:val="Hyperlink"/>
          <w:rFonts w:ascii="Arial" w:hAnsi="Arial" w:cs="Arial"/>
        </w:rPr>
        <w:t>resource</w:t>
      </w:r>
      <w:r w:rsidRPr="00532578">
        <w:rPr>
          <w:rStyle w:val="Hyperlink"/>
          <w:rFonts w:ascii="Arial" w:hAnsi="Arial" w:cs="Arial"/>
        </w:rPr>
        <w:t>)</w:t>
      </w:r>
    </w:p>
    <w:p w14:paraId="37750478" w14:textId="0B74C73A" w:rsidR="00D9439E" w:rsidRPr="004D2274" w:rsidRDefault="000E63A1" w:rsidP="00D9439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8" w:name="_Toc121221826"/>
      <w:bookmarkStart w:id="19" w:name="_Toc121222629"/>
      <w:bookmarkStart w:id="20" w:name="_Toc121221827"/>
      <w:bookmarkStart w:id="21" w:name="_Toc121222630"/>
      <w:bookmarkStart w:id="22" w:name="_Toc78125085"/>
      <w:bookmarkStart w:id="23" w:name="_Toc78193564"/>
      <w:bookmarkStart w:id="24" w:name="_Toc78193652"/>
      <w:bookmarkStart w:id="25" w:name="_Toc78201558"/>
      <w:bookmarkStart w:id="26" w:name="_Toc80006738"/>
      <w:bookmarkStart w:id="27" w:name="_Toc80008343"/>
      <w:bookmarkStart w:id="28" w:name="_Toc78125086"/>
      <w:bookmarkStart w:id="29" w:name="_Toc78193565"/>
      <w:bookmarkStart w:id="30" w:name="_Toc78193653"/>
      <w:bookmarkStart w:id="31" w:name="_Toc78201559"/>
      <w:bookmarkStart w:id="32" w:name="_Toc80006739"/>
      <w:bookmarkStart w:id="33" w:name="_Toc80008344"/>
      <w:bookmarkStart w:id="34" w:name="_Toc78125087"/>
      <w:bookmarkStart w:id="35" w:name="_Toc78193566"/>
      <w:bookmarkStart w:id="36" w:name="_Toc78193654"/>
      <w:bookmarkStart w:id="37" w:name="_Toc78201560"/>
      <w:bookmarkStart w:id="38" w:name="_Toc80006740"/>
      <w:bookmarkStart w:id="39" w:name="_Toc80008345"/>
      <w:bookmarkStart w:id="40" w:name="_Toc78125088"/>
      <w:bookmarkStart w:id="41" w:name="_Toc78193567"/>
      <w:bookmarkStart w:id="42" w:name="_Toc78193655"/>
      <w:bookmarkStart w:id="43" w:name="_Toc78201561"/>
      <w:bookmarkStart w:id="44" w:name="_Toc80006741"/>
      <w:bookmarkStart w:id="45" w:name="_Toc80008346"/>
      <w:bookmarkStart w:id="46" w:name="_Toc78125089"/>
      <w:bookmarkStart w:id="47" w:name="_Toc78193568"/>
      <w:bookmarkStart w:id="48" w:name="_Toc78193656"/>
      <w:bookmarkStart w:id="49" w:name="_Toc78201562"/>
      <w:bookmarkStart w:id="50" w:name="_Toc80006742"/>
      <w:bookmarkStart w:id="51" w:name="_Toc80008347"/>
      <w:bookmarkStart w:id="52" w:name="_Toc78125090"/>
      <w:bookmarkStart w:id="53" w:name="_Toc78193569"/>
      <w:bookmarkStart w:id="54" w:name="_Toc78193657"/>
      <w:bookmarkStart w:id="55" w:name="_Toc78201563"/>
      <w:bookmarkStart w:id="56" w:name="_Toc80006743"/>
      <w:bookmarkStart w:id="57" w:name="_Toc80008348"/>
      <w:bookmarkStart w:id="58" w:name="_Toc78125091"/>
      <w:bookmarkStart w:id="59" w:name="_Toc78193570"/>
      <w:bookmarkStart w:id="60" w:name="_Toc78193658"/>
      <w:bookmarkStart w:id="61" w:name="_Toc78201564"/>
      <w:bookmarkStart w:id="62" w:name="_Toc80006744"/>
      <w:bookmarkStart w:id="63" w:name="_Toc80008349"/>
      <w:bookmarkStart w:id="64" w:name="_Toc78125092"/>
      <w:bookmarkStart w:id="65" w:name="_Toc78193571"/>
      <w:bookmarkStart w:id="66" w:name="_Toc78193659"/>
      <w:bookmarkStart w:id="67" w:name="_Toc78201565"/>
      <w:bookmarkStart w:id="68" w:name="_Toc80006745"/>
      <w:bookmarkStart w:id="69" w:name="_Toc80008350"/>
      <w:bookmarkStart w:id="70" w:name="_Toc78125093"/>
      <w:bookmarkStart w:id="71" w:name="_Toc78193572"/>
      <w:bookmarkStart w:id="72" w:name="_Toc78193660"/>
      <w:bookmarkStart w:id="73" w:name="_Toc78201566"/>
      <w:bookmarkStart w:id="74" w:name="_Toc80006746"/>
      <w:bookmarkStart w:id="75" w:name="_Toc80008351"/>
      <w:bookmarkStart w:id="76" w:name="_Toc78125094"/>
      <w:bookmarkStart w:id="77" w:name="_Toc78193573"/>
      <w:bookmarkStart w:id="78" w:name="_Toc78193661"/>
      <w:bookmarkStart w:id="79" w:name="_Toc78201567"/>
      <w:bookmarkStart w:id="80" w:name="_Toc80006747"/>
      <w:bookmarkStart w:id="81" w:name="_Toc80008352"/>
      <w:bookmarkStart w:id="82" w:name="_Toc78125095"/>
      <w:bookmarkStart w:id="83" w:name="_Toc78193574"/>
      <w:bookmarkStart w:id="84" w:name="_Toc78193662"/>
      <w:bookmarkStart w:id="85" w:name="_Toc78201568"/>
      <w:bookmarkStart w:id="86" w:name="_Toc80006748"/>
      <w:bookmarkStart w:id="87" w:name="_Toc80008353"/>
      <w:bookmarkStart w:id="88" w:name="_Toc20579894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4D2274">
        <w:rPr>
          <w:sz w:val="28"/>
          <w:szCs w:val="28"/>
        </w:rPr>
        <w:lastRenderedPageBreak/>
        <w:t xml:space="preserve">Service </w:t>
      </w:r>
      <w:r w:rsidR="00232556" w:rsidRPr="004D2274">
        <w:rPr>
          <w:sz w:val="28"/>
          <w:szCs w:val="28"/>
        </w:rPr>
        <w:t>delivery specification</w:t>
      </w:r>
      <w:bookmarkEnd w:id="88"/>
    </w:p>
    <w:p w14:paraId="0367E6C0" w14:textId="455A0043" w:rsidR="006043C0" w:rsidRPr="00E92F6C" w:rsidRDefault="006043C0" w:rsidP="00D9439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89" w:name="_Toc205798948"/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General </w:t>
      </w:r>
      <w:r w:rsidR="00232556" w:rsidRPr="00E92F6C">
        <w:rPr>
          <w:rFonts w:ascii="Arial" w:hAnsi="Arial" w:cs="Arial"/>
          <w:smallCaps w:val="0"/>
          <w:sz w:val="24"/>
          <w:szCs w:val="24"/>
          <w:lang w:val="en-GB"/>
        </w:rPr>
        <w:t>r</w:t>
      </w:r>
      <w:r w:rsidRPr="00E92F6C">
        <w:rPr>
          <w:rFonts w:ascii="Arial" w:hAnsi="Arial" w:cs="Arial"/>
          <w:smallCaps w:val="0"/>
          <w:sz w:val="24"/>
          <w:szCs w:val="24"/>
          <w:lang w:val="en-GB"/>
        </w:rPr>
        <w:t xml:space="preserve">equirements </w:t>
      </w:r>
      <w:r w:rsidR="00601D1B" w:rsidRPr="00E92F6C">
        <w:rPr>
          <w:rFonts w:ascii="Arial" w:hAnsi="Arial" w:cs="Arial"/>
          <w:smallCaps w:val="0"/>
          <w:sz w:val="24"/>
          <w:szCs w:val="24"/>
          <w:lang w:val="en-GB"/>
        </w:rPr>
        <w:t>of the enhanced service</w:t>
      </w:r>
      <w:bookmarkEnd w:id="89"/>
    </w:p>
    <w:p w14:paraId="03EBD5F7" w14:textId="30B37167" w:rsidR="006043C0" w:rsidRPr="00E92F6C" w:rsidRDefault="006043C0" w:rsidP="006043C0"/>
    <w:p w14:paraId="6F12544E" w14:textId="02F10F22" w:rsidR="006043C0" w:rsidRPr="00532578" w:rsidRDefault="006043C0" w:rsidP="004A334C">
      <w:pPr>
        <w:rPr>
          <w:rFonts w:ascii="Arial" w:hAnsi="Arial" w:cs="Arial"/>
          <w:sz w:val="22"/>
          <w:szCs w:val="22"/>
        </w:rPr>
      </w:pPr>
      <w:r w:rsidRPr="00E92F6C">
        <w:rPr>
          <w:rFonts w:ascii="Arial" w:hAnsi="Arial" w:cs="Arial"/>
          <w:sz w:val="22"/>
          <w:szCs w:val="22"/>
        </w:rPr>
        <w:t xml:space="preserve">The </w:t>
      </w:r>
      <w:r w:rsidR="00232556" w:rsidRPr="00E92F6C">
        <w:rPr>
          <w:rFonts w:ascii="Arial" w:hAnsi="Arial" w:cs="Arial"/>
          <w:sz w:val="22"/>
          <w:szCs w:val="22"/>
        </w:rPr>
        <w:t xml:space="preserve">general requirements </w:t>
      </w:r>
      <w:r w:rsidRPr="00E92F6C">
        <w:rPr>
          <w:rFonts w:ascii="Arial" w:hAnsi="Arial" w:cs="Arial"/>
          <w:sz w:val="22"/>
          <w:szCs w:val="22"/>
        </w:rPr>
        <w:t xml:space="preserve">of the </w:t>
      </w:r>
      <w:r w:rsidR="00283D8F">
        <w:rPr>
          <w:rFonts w:ascii="Arial" w:hAnsi="Arial" w:cs="Arial"/>
          <w:sz w:val="22"/>
          <w:szCs w:val="22"/>
        </w:rPr>
        <w:t>ES</w:t>
      </w:r>
      <w:r w:rsidR="00601D1B" w:rsidRPr="00E92F6C">
        <w:rPr>
          <w:rFonts w:ascii="Arial" w:hAnsi="Arial" w:cs="Arial"/>
          <w:sz w:val="22"/>
          <w:szCs w:val="22"/>
        </w:rPr>
        <w:t xml:space="preserve"> </w:t>
      </w:r>
      <w:r w:rsidRPr="00E92F6C">
        <w:rPr>
          <w:rFonts w:ascii="Arial" w:hAnsi="Arial" w:cs="Arial"/>
          <w:sz w:val="22"/>
          <w:szCs w:val="22"/>
        </w:rPr>
        <w:t>ar</w:t>
      </w:r>
      <w:r w:rsidR="00D676E8" w:rsidRPr="00E92F6C">
        <w:rPr>
          <w:rFonts w:ascii="Arial" w:hAnsi="Arial" w:cs="Arial"/>
          <w:sz w:val="22"/>
          <w:szCs w:val="22"/>
        </w:rPr>
        <w:t>e</w:t>
      </w:r>
      <w:r w:rsidRPr="00E92F6C">
        <w:rPr>
          <w:rFonts w:ascii="Arial" w:hAnsi="Arial" w:cs="Arial"/>
          <w:sz w:val="22"/>
          <w:szCs w:val="22"/>
        </w:rPr>
        <w:t xml:space="preserve"> outlined in </w:t>
      </w:r>
      <w:r w:rsidR="003350E8">
        <w:rPr>
          <w:rFonts w:ascii="Arial" w:hAnsi="Arial" w:cs="Arial"/>
          <w:sz w:val="22"/>
          <w:szCs w:val="22"/>
        </w:rPr>
        <w:t>S</w:t>
      </w:r>
      <w:r w:rsidR="00054520">
        <w:rPr>
          <w:rFonts w:ascii="Arial" w:hAnsi="Arial" w:cs="Arial"/>
          <w:sz w:val="22"/>
          <w:szCs w:val="22"/>
        </w:rPr>
        <w:t>ection</w:t>
      </w:r>
      <w:r w:rsidRPr="00E92F6C">
        <w:rPr>
          <w:rFonts w:ascii="Arial" w:hAnsi="Arial" w:cs="Arial"/>
          <w:sz w:val="22"/>
          <w:szCs w:val="22"/>
        </w:rPr>
        <w:t xml:space="preserve"> 5 of th</w:t>
      </w:r>
      <w:r w:rsidR="00381D98" w:rsidRPr="00E92F6C">
        <w:rPr>
          <w:rFonts w:ascii="Arial" w:hAnsi="Arial" w:cs="Arial"/>
          <w:sz w:val="22"/>
          <w:szCs w:val="22"/>
        </w:rPr>
        <w:t xml:space="preserve">e </w:t>
      </w:r>
      <w:r w:rsidR="00C264CB">
        <w:rPr>
          <w:rFonts w:ascii="Arial" w:hAnsi="Arial" w:cs="Arial"/>
          <w:sz w:val="22"/>
          <w:szCs w:val="22"/>
        </w:rPr>
        <w:t xml:space="preserve">specification </w:t>
      </w:r>
      <w:r w:rsidR="00381D98" w:rsidRPr="00E92F6C">
        <w:rPr>
          <w:rFonts w:ascii="Arial" w:hAnsi="Arial" w:cs="Arial"/>
          <w:sz w:val="22"/>
          <w:szCs w:val="22"/>
        </w:rPr>
        <w:t>document.</w:t>
      </w:r>
      <w:r w:rsidR="00381D98" w:rsidRPr="00E92F6C" w:rsidDel="00381D98">
        <w:rPr>
          <w:rFonts w:ascii="Arial" w:hAnsi="Arial" w:cs="Arial"/>
          <w:sz w:val="22"/>
          <w:szCs w:val="22"/>
        </w:rPr>
        <w:t xml:space="preserve"> </w:t>
      </w:r>
      <w:r w:rsidR="00532578" w:rsidRPr="00E92F6C">
        <w:rPr>
          <w:rFonts w:ascii="Arial" w:hAnsi="Arial" w:cs="Arial"/>
          <w:sz w:val="22"/>
          <w:szCs w:val="22"/>
        </w:rPr>
        <w:t xml:space="preserve">The aims </w:t>
      </w:r>
      <w:r w:rsidR="00532578">
        <w:rPr>
          <w:rFonts w:ascii="Arial" w:hAnsi="Arial" w:cs="Arial"/>
          <w:sz w:val="22"/>
          <w:szCs w:val="22"/>
        </w:rPr>
        <w:t xml:space="preserve">of the ES are detailed at </w:t>
      </w:r>
      <w:r w:rsidR="003350E8">
        <w:rPr>
          <w:rFonts w:ascii="Arial" w:hAnsi="Arial" w:cs="Arial"/>
          <w:sz w:val="22"/>
          <w:szCs w:val="22"/>
        </w:rPr>
        <w:t>S</w:t>
      </w:r>
      <w:r w:rsidR="00532578">
        <w:rPr>
          <w:rFonts w:ascii="Arial" w:hAnsi="Arial" w:cs="Arial"/>
          <w:sz w:val="22"/>
          <w:szCs w:val="22"/>
        </w:rPr>
        <w:t xml:space="preserve">ection 6 of the </w:t>
      </w:r>
      <w:r w:rsidR="00532578" w:rsidRPr="00532578">
        <w:rPr>
          <w:rFonts w:ascii="Arial" w:hAnsi="Arial" w:cs="Arial"/>
          <w:sz w:val="22"/>
          <w:szCs w:val="22"/>
        </w:rPr>
        <w:t>specification document</w:t>
      </w:r>
      <w:r w:rsidR="003350E8">
        <w:rPr>
          <w:rFonts w:ascii="Arial" w:hAnsi="Arial" w:cs="Arial"/>
          <w:sz w:val="22"/>
          <w:szCs w:val="22"/>
        </w:rPr>
        <w:t>. T</w:t>
      </w:r>
      <w:r w:rsidR="00532578">
        <w:rPr>
          <w:rFonts w:ascii="Arial" w:hAnsi="Arial" w:cs="Arial"/>
          <w:sz w:val="22"/>
          <w:szCs w:val="22"/>
        </w:rPr>
        <w:t xml:space="preserve">his includes detailed information of Component 1 and Component 2 of the ES. </w:t>
      </w:r>
    </w:p>
    <w:p w14:paraId="162267B7" w14:textId="6055F38C" w:rsidR="007650D6" w:rsidRPr="00E92F6C" w:rsidRDefault="00054520" w:rsidP="007650D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90" w:name="_Toc80006752"/>
      <w:bookmarkStart w:id="91" w:name="_Toc80008357"/>
      <w:bookmarkStart w:id="92" w:name="_Toc80006753"/>
      <w:bookmarkStart w:id="93" w:name="_Toc80008358"/>
      <w:bookmarkStart w:id="94" w:name="_Toc80006754"/>
      <w:bookmarkStart w:id="95" w:name="_Toc80008359"/>
      <w:bookmarkStart w:id="96" w:name="_Toc80006755"/>
      <w:bookmarkStart w:id="97" w:name="_Toc80008360"/>
      <w:bookmarkStart w:id="98" w:name="_Toc80006756"/>
      <w:bookmarkStart w:id="99" w:name="_Toc80008361"/>
      <w:bookmarkStart w:id="100" w:name="_Toc80006757"/>
      <w:bookmarkStart w:id="101" w:name="_Toc80008362"/>
      <w:bookmarkStart w:id="102" w:name="_Toc80006758"/>
      <w:bookmarkStart w:id="103" w:name="_Toc80008363"/>
      <w:bookmarkStart w:id="104" w:name="_Toc80006759"/>
      <w:bookmarkStart w:id="105" w:name="_Toc80008364"/>
      <w:bookmarkStart w:id="106" w:name="_Toc80006760"/>
      <w:bookmarkStart w:id="107" w:name="_Toc80008365"/>
      <w:bookmarkStart w:id="108" w:name="_Toc80006761"/>
      <w:bookmarkStart w:id="109" w:name="_Toc80008366"/>
      <w:bookmarkStart w:id="110" w:name="_Toc80006762"/>
      <w:bookmarkStart w:id="111" w:name="_Toc80008367"/>
      <w:bookmarkStart w:id="112" w:name="_Toc80006763"/>
      <w:bookmarkStart w:id="113" w:name="_Toc80008368"/>
      <w:bookmarkStart w:id="114" w:name="_Toc78125098"/>
      <w:bookmarkStart w:id="115" w:name="_Toc78193578"/>
      <w:bookmarkStart w:id="116" w:name="_Toc78193666"/>
      <w:bookmarkStart w:id="117" w:name="_Toc78201572"/>
      <w:bookmarkStart w:id="118" w:name="_Toc80006764"/>
      <w:bookmarkStart w:id="119" w:name="_Toc80008369"/>
      <w:bookmarkStart w:id="120" w:name="_Toc20579894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Arial" w:hAnsi="Arial" w:cs="Arial"/>
          <w:smallCaps w:val="0"/>
          <w:sz w:val="24"/>
          <w:szCs w:val="24"/>
          <w:lang w:val="en-GB"/>
        </w:rPr>
        <w:t>Assessment protocol</w:t>
      </w:r>
      <w:bookmarkEnd w:id="120"/>
    </w:p>
    <w:p w14:paraId="62DD186E" w14:textId="35944438" w:rsidR="007650D6" w:rsidRPr="00E92F6C" w:rsidRDefault="007650D6" w:rsidP="00D9439E">
      <w:pPr>
        <w:rPr>
          <w:rFonts w:ascii="Arial" w:hAnsi="Arial" w:cs="Arial"/>
          <w:sz w:val="22"/>
          <w:szCs w:val="22"/>
        </w:rPr>
      </w:pPr>
    </w:p>
    <w:p w14:paraId="74F30C6C" w14:textId="4593F216" w:rsidR="00DA0F08" w:rsidRPr="007C741E" w:rsidRDefault="00054520" w:rsidP="00054520">
      <w:pPr>
        <w:rPr>
          <w:rFonts w:ascii="Arial" w:hAnsi="Arial" w:cs="Arial"/>
          <w:sz w:val="22"/>
          <w:szCs w:val="22"/>
        </w:rPr>
      </w:pPr>
      <w:r w:rsidRPr="00054520">
        <w:rPr>
          <w:rFonts w:ascii="Arial" w:hAnsi="Arial" w:cs="Arial"/>
          <w:sz w:val="22"/>
          <w:szCs w:val="22"/>
        </w:rPr>
        <w:t xml:space="preserve">As stated at </w:t>
      </w:r>
      <w:r w:rsidR="003350E8">
        <w:rPr>
          <w:rFonts w:ascii="Arial" w:hAnsi="Arial" w:cs="Arial"/>
          <w:sz w:val="22"/>
          <w:szCs w:val="22"/>
        </w:rPr>
        <w:t>S</w:t>
      </w:r>
      <w:r w:rsidRPr="00054520">
        <w:rPr>
          <w:rFonts w:ascii="Arial" w:hAnsi="Arial" w:cs="Arial"/>
          <w:sz w:val="22"/>
          <w:szCs w:val="22"/>
        </w:rPr>
        <w:t xml:space="preserve">ection 6.3 of the ES, this organisation must develop and implement a protocol for the identification and support of patients living with obesity. An example protocol can be found at </w:t>
      </w:r>
      <w:hyperlink w:anchor="_Annex_A_–" w:history="1">
        <w:r w:rsidRPr="00054520">
          <w:rPr>
            <w:rStyle w:val="Hyperlink"/>
            <w:rFonts w:ascii="Arial" w:hAnsi="Arial" w:cs="Arial"/>
            <w:sz w:val="22"/>
            <w:szCs w:val="22"/>
          </w:rPr>
          <w:t>Annex A</w:t>
        </w:r>
      </w:hyperlink>
      <w:r w:rsidRPr="00054520">
        <w:rPr>
          <w:rFonts w:ascii="Arial" w:hAnsi="Arial" w:cs="Arial"/>
          <w:sz w:val="22"/>
          <w:szCs w:val="22"/>
        </w:rPr>
        <w:t>.</w:t>
      </w:r>
      <w:bookmarkStart w:id="121" w:name="_Toc78125103"/>
      <w:bookmarkStart w:id="122" w:name="_Toc78125104"/>
      <w:bookmarkStart w:id="123" w:name="_Toc78125105"/>
      <w:bookmarkStart w:id="124" w:name="_Toc78125106"/>
      <w:bookmarkEnd w:id="121"/>
      <w:bookmarkEnd w:id="122"/>
      <w:bookmarkEnd w:id="123"/>
      <w:bookmarkEnd w:id="124"/>
    </w:p>
    <w:p w14:paraId="266FEB8C" w14:textId="699853D9" w:rsidR="00DF468F" w:rsidRPr="004D2274" w:rsidRDefault="00DF468F" w:rsidP="004A334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25" w:name="_Toc80006772"/>
      <w:bookmarkStart w:id="126" w:name="_Toc80008376"/>
      <w:bookmarkStart w:id="127" w:name="_Toc80006838"/>
      <w:bookmarkStart w:id="128" w:name="_Toc80008442"/>
      <w:bookmarkStart w:id="129" w:name="_Toc205798950"/>
      <w:bookmarkEnd w:id="125"/>
      <w:bookmarkEnd w:id="126"/>
      <w:bookmarkEnd w:id="127"/>
      <w:bookmarkEnd w:id="128"/>
      <w:r w:rsidRPr="004D2274">
        <w:rPr>
          <w:sz w:val="28"/>
          <w:szCs w:val="28"/>
        </w:rPr>
        <w:t xml:space="preserve">Payment and </w:t>
      </w:r>
      <w:r w:rsidR="00B4413C" w:rsidRPr="004D2274">
        <w:rPr>
          <w:sz w:val="28"/>
          <w:szCs w:val="28"/>
        </w:rPr>
        <w:t>v</w:t>
      </w:r>
      <w:r w:rsidRPr="004D2274">
        <w:rPr>
          <w:sz w:val="28"/>
          <w:szCs w:val="28"/>
        </w:rPr>
        <w:t>alidation</w:t>
      </w:r>
      <w:bookmarkEnd w:id="129"/>
    </w:p>
    <w:p w14:paraId="5EF0077C" w14:textId="36FC1BD1" w:rsidR="00DF468F" w:rsidRPr="00E92F6C" w:rsidRDefault="00D676E8" w:rsidP="004A334C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0" w:name="_Toc80008445"/>
      <w:bookmarkStart w:id="131" w:name="_Toc121130009"/>
      <w:bookmarkStart w:id="132" w:name="_Toc121221834"/>
      <w:bookmarkStart w:id="133" w:name="_Toc121222637"/>
      <w:bookmarkStart w:id="134" w:name="_Toc121130010"/>
      <w:bookmarkStart w:id="135" w:name="_Toc121221835"/>
      <w:bookmarkStart w:id="136" w:name="_Toc121222638"/>
      <w:bookmarkStart w:id="137" w:name="_Toc121130011"/>
      <w:bookmarkStart w:id="138" w:name="_Toc121221836"/>
      <w:bookmarkStart w:id="139" w:name="_Toc121222639"/>
      <w:bookmarkStart w:id="140" w:name="_Toc205798951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E92F6C">
        <w:rPr>
          <w:rFonts w:ascii="Arial" w:hAnsi="Arial" w:cs="Arial"/>
          <w:smallCaps w:val="0"/>
          <w:sz w:val="24"/>
          <w:szCs w:val="24"/>
          <w:lang w:val="en-GB"/>
        </w:rPr>
        <w:t>Payment</w:t>
      </w:r>
      <w:bookmarkEnd w:id="140"/>
    </w:p>
    <w:p w14:paraId="74C350E3" w14:textId="0402F86C" w:rsidR="00D676E8" w:rsidRPr="00E92F6C" w:rsidRDefault="00D676E8" w:rsidP="00DF468F">
      <w:pPr>
        <w:rPr>
          <w:rFonts w:ascii="Arial" w:eastAsiaTheme="majorEastAsia" w:hAnsi="Arial" w:cs="Arial"/>
          <w:b/>
          <w:bCs/>
          <w:color w:val="000000" w:themeColor="text1"/>
        </w:rPr>
      </w:pPr>
    </w:p>
    <w:p w14:paraId="110B90D5" w14:textId="3073FFCB" w:rsidR="00B17DDB" w:rsidRPr="00532578" w:rsidRDefault="00532578">
      <w:pPr>
        <w:rPr>
          <w:rFonts w:ascii="Arial" w:eastAsiaTheme="majorEastAsia" w:hAnsi="Arial" w:cs="Arial"/>
          <w:b/>
          <w:bCs/>
          <w:color w:val="000000" w:themeColor="text1"/>
        </w:rPr>
      </w:pPr>
      <w:r w:rsidRPr="00E92F6C">
        <w:rPr>
          <w:rFonts w:ascii="Arial" w:hAnsi="Arial" w:cs="Arial"/>
          <w:sz w:val="22"/>
          <w:szCs w:val="22"/>
        </w:rPr>
        <w:t xml:space="preserve">Payment and validation </w:t>
      </w:r>
      <w:r>
        <w:rPr>
          <w:rFonts w:ascii="Arial" w:hAnsi="Arial" w:cs="Arial"/>
          <w:sz w:val="22"/>
          <w:szCs w:val="22"/>
        </w:rPr>
        <w:t xml:space="preserve">for this ES is detailed at Section 7 of the </w:t>
      </w:r>
      <w:r w:rsidRPr="00532578">
        <w:rPr>
          <w:rFonts w:ascii="Arial" w:hAnsi="Arial" w:cs="Arial"/>
          <w:sz w:val="22"/>
          <w:szCs w:val="22"/>
        </w:rPr>
        <w:t>specification document</w:t>
      </w:r>
      <w:r>
        <w:rPr>
          <w:rFonts w:ascii="Arial" w:hAnsi="Arial" w:cs="Arial"/>
          <w:sz w:val="22"/>
          <w:szCs w:val="22"/>
        </w:rPr>
        <w:t>. This organisation will be paid</w:t>
      </w:r>
      <w:r>
        <w:rPr>
          <w:rFonts w:ascii="Arial" w:eastAsiaTheme="majorEastAsia" w:hAnsi="Arial" w:cs="Arial"/>
          <w:b/>
          <w:bCs/>
          <w:color w:val="000000" w:themeColor="text1"/>
        </w:rPr>
        <w:t xml:space="preserve"> </w:t>
      </w:r>
      <w:r w:rsidR="00D676E8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£11.50 per referral</w:t>
      </w:r>
      <w:r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; 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o</w:t>
      </w:r>
      <w:r w:rsidR="00D676E8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nly one claim per referral may be made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.</w:t>
      </w:r>
      <w:r w:rsidR="00C86C69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Qualifying referrals are to be coded using SNOMED</w:t>
      </w:r>
      <w:r w:rsidR="00701FE0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: Referral to weight </w:t>
      </w:r>
      <w:r w:rsidR="002060D0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management service 1326201000000101</w:t>
      </w:r>
      <w:r w:rsidR="00E92F6C">
        <w:rPr>
          <w:rFonts w:ascii="Arial" w:eastAsiaTheme="majorEastAsia" w:hAnsi="Arial" w:cs="Arial"/>
          <w:color w:val="000000" w:themeColor="text1"/>
          <w:sz w:val="22"/>
          <w:szCs w:val="22"/>
        </w:rPr>
        <w:t>.</w:t>
      </w:r>
    </w:p>
    <w:p w14:paraId="0C3CB1BD" w14:textId="77777777" w:rsidR="00B17DDB" w:rsidRPr="00E92F6C" w:rsidRDefault="00B17DDB">
      <w:pPr>
        <w:rPr>
          <w:rFonts w:ascii="Arial" w:eastAsiaTheme="majorEastAsia" w:hAnsi="Arial" w:cs="Arial"/>
          <w:color w:val="000000" w:themeColor="text1"/>
          <w:sz w:val="22"/>
          <w:szCs w:val="22"/>
        </w:rPr>
      </w:pPr>
    </w:p>
    <w:p w14:paraId="27FEE0BC" w14:textId="52089B59" w:rsidR="00DF468F" w:rsidRDefault="00BE592D" w:rsidP="004A334C">
      <w:pPr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Section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7.</w:t>
      </w:r>
      <w:r w:rsidR="00532578">
        <w:rPr>
          <w:rFonts w:ascii="Arial" w:eastAsiaTheme="majorEastAsia" w:hAnsi="Arial" w:cs="Arial"/>
          <w:color w:val="000000" w:themeColor="text1"/>
          <w:sz w:val="22"/>
          <w:szCs w:val="22"/>
        </w:rPr>
        <w:t>4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4D2274">
        <w:rPr>
          <w:rFonts w:ascii="Arial" w:eastAsiaTheme="majorEastAsia" w:hAnsi="Arial" w:cs="Arial"/>
          <w:color w:val="000000" w:themeColor="text1"/>
          <w:sz w:val="22"/>
          <w:szCs w:val="22"/>
        </w:rPr>
        <w:t>of the</w:t>
      </w:r>
      <w:r w:rsid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283D8F">
        <w:rPr>
          <w:rFonts w:ascii="Arial" w:eastAsiaTheme="majorEastAsia" w:hAnsi="Arial" w:cs="Arial"/>
          <w:color w:val="000000" w:themeColor="text1"/>
          <w:sz w:val="22"/>
          <w:szCs w:val="22"/>
        </w:rPr>
        <w:t>ES</w:t>
      </w:r>
      <w:r w:rsid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4D2274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specification 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advises that c</w:t>
      </w:r>
      <w:r w:rsidR="00D676E8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laims are to be made manually</w:t>
      </w:r>
      <w:r w:rsidR="00C6378C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="00326759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monthly after the referral,</w:t>
      </w:r>
      <w:r w:rsidR="00D676E8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and are subject to the terms and conditions outlined 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with</w:t>
      </w:r>
      <w:r w:rsidR="00D676E8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in 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the </w:t>
      </w:r>
      <w:r w:rsidR="00283D8F">
        <w:rPr>
          <w:rFonts w:ascii="Arial" w:eastAsiaTheme="majorEastAsia" w:hAnsi="Arial" w:cs="Arial"/>
          <w:color w:val="000000" w:themeColor="text1"/>
          <w:sz w:val="22"/>
          <w:szCs w:val="22"/>
        </w:rPr>
        <w:t>ES</w:t>
      </w:r>
      <w:r w:rsidR="00350BDD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B17DDB" w:rsidRPr="00E92F6C">
        <w:rPr>
          <w:rFonts w:ascii="Arial" w:eastAsiaTheme="majorEastAsia" w:hAnsi="Arial" w:cs="Arial"/>
          <w:color w:val="000000" w:themeColor="text1"/>
          <w:sz w:val="22"/>
          <w:szCs w:val="22"/>
        </w:rPr>
        <w:t>specification.</w:t>
      </w:r>
    </w:p>
    <w:p w14:paraId="4200E8F6" w14:textId="77777777" w:rsidR="00532578" w:rsidRPr="00E92F6C" w:rsidRDefault="00532578" w:rsidP="004A334C">
      <w:pPr>
        <w:rPr>
          <w:rFonts w:eastAsiaTheme="majorEastAsia"/>
          <w:color w:val="000000" w:themeColor="text1"/>
          <w:sz w:val="22"/>
          <w:szCs w:val="22"/>
        </w:rPr>
      </w:pPr>
    </w:p>
    <w:p w14:paraId="4CBCB635" w14:textId="7EA6DAB4" w:rsidR="00971581" w:rsidRPr="004D2274" w:rsidRDefault="009715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212838" w14:textId="2D10DDDD" w:rsidR="00971581" w:rsidRPr="004D2274" w:rsidRDefault="009715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B1C21E0" w14:textId="014C903B" w:rsidR="00971581" w:rsidRPr="004D2274" w:rsidRDefault="009715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45D2AA" w14:textId="1EAFBC8C" w:rsidR="00971581" w:rsidRPr="004D2274" w:rsidRDefault="009715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E0FE61" w14:textId="108BBFEF" w:rsidR="00971581" w:rsidRDefault="009715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178EF7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A4F5C5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DD6600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767A6A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6A9F6D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C5991C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12D06E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225FFD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64AB30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A118AA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DB7D7B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B54F62" w14:textId="77777777" w:rsidR="00532578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41EA47" w14:textId="77777777" w:rsidR="00532578" w:rsidRPr="004D2274" w:rsidRDefault="005325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3E4947" w14:textId="77777777" w:rsidR="00A30CE0" w:rsidRDefault="00A30CE0">
      <w:pPr>
        <w:rPr>
          <w:rFonts w:ascii="Arial" w:eastAsiaTheme="minorHAnsi" w:hAnsi="Arial" w:cs="Arial"/>
          <w:b/>
          <w:bCs/>
          <w:kern w:val="32"/>
          <w:sz w:val="28"/>
          <w:szCs w:val="28"/>
        </w:rPr>
      </w:pPr>
      <w:bookmarkStart w:id="141" w:name="_Annex_A_–"/>
      <w:bookmarkStart w:id="142" w:name="_Toc205798952"/>
      <w:bookmarkEnd w:id="141"/>
      <w:r>
        <w:rPr>
          <w:sz w:val="28"/>
          <w:szCs w:val="28"/>
        </w:rPr>
        <w:br w:type="page"/>
      </w:r>
    </w:p>
    <w:p w14:paraId="1A580CD9" w14:textId="0F55738B" w:rsidR="0039638F" w:rsidRPr="004D2274" w:rsidRDefault="0039638F" w:rsidP="004A334C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4D2274">
        <w:rPr>
          <w:sz w:val="28"/>
          <w:szCs w:val="28"/>
        </w:rPr>
        <w:lastRenderedPageBreak/>
        <w:t xml:space="preserve">Annex A </w:t>
      </w:r>
      <w:r w:rsidR="00E70206" w:rsidRPr="004D2274">
        <w:rPr>
          <w:sz w:val="28"/>
          <w:szCs w:val="28"/>
        </w:rPr>
        <w:t>– Protocol to identify and support</w:t>
      </w:r>
      <w:r w:rsidR="00E31E37" w:rsidRPr="004D2274">
        <w:rPr>
          <w:sz w:val="28"/>
          <w:szCs w:val="28"/>
        </w:rPr>
        <w:t xml:space="preserve"> obese</w:t>
      </w:r>
      <w:r w:rsidR="00E70206" w:rsidRPr="004D2274">
        <w:rPr>
          <w:sz w:val="28"/>
          <w:szCs w:val="28"/>
        </w:rPr>
        <w:t xml:space="preserve"> patients</w:t>
      </w:r>
      <w:bookmarkEnd w:id="142"/>
    </w:p>
    <w:p w14:paraId="01C5CE63" w14:textId="77777777" w:rsidR="002A4ADE" w:rsidRPr="004D2274" w:rsidRDefault="002A4ADE" w:rsidP="004A334C">
      <w:pPr>
        <w:rPr>
          <w:rFonts w:ascii="Arial" w:hAnsi="Arial" w:cs="Arial"/>
          <w:color w:val="000000" w:themeColor="text1"/>
        </w:rPr>
      </w:pPr>
    </w:p>
    <w:p w14:paraId="55F2F3A3" w14:textId="40673735" w:rsidR="00E70206" w:rsidRPr="00FD019F" w:rsidRDefault="007C741E" w:rsidP="00E70206">
      <w:pPr>
        <w:rPr>
          <w:rFonts w:ascii="Arial" w:hAnsi="Arial" w:cs="Arial"/>
          <w:color w:val="000000" w:themeColor="text1"/>
          <w:sz w:val="22"/>
          <w:szCs w:val="22"/>
        </w:rPr>
      </w:pPr>
      <w:r w:rsidRPr="00FD019F">
        <w:rPr>
          <w:rFonts w:ascii="Arial" w:hAnsi="Arial" w:cs="Arial"/>
          <w:color w:val="000000" w:themeColor="text1"/>
          <w:sz w:val="22"/>
          <w:szCs w:val="22"/>
        </w:rPr>
        <w:t>This organisation is</w:t>
      </w:r>
      <w:r w:rsidR="00E70206" w:rsidRPr="00FD019F">
        <w:rPr>
          <w:rFonts w:ascii="Arial" w:hAnsi="Arial" w:cs="Arial"/>
          <w:color w:val="000000" w:themeColor="text1"/>
          <w:sz w:val="22"/>
          <w:szCs w:val="22"/>
        </w:rPr>
        <w:t xml:space="preserve"> required to develop and implement</w:t>
      </w:r>
      <w:r w:rsidR="00FD52FD" w:rsidRPr="00FD01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206" w:rsidRPr="00FD019F">
        <w:rPr>
          <w:rFonts w:ascii="Arial" w:hAnsi="Arial" w:cs="Arial"/>
          <w:color w:val="000000" w:themeColor="text1"/>
          <w:sz w:val="22"/>
          <w:szCs w:val="22"/>
        </w:rPr>
        <w:t>a protocol for the</w:t>
      </w:r>
      <w:r w:rsidR="002A4ADE" w:rsidRPr="00FD01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206" w:rsidRPr="00FD019F">
        <w:rPr>
          <w:rFonts w:ascii="Arial" w:hAnsi="Arial" w:cs="Arial"/>
          <w:color w:val="000000" w:themeColor="text1"/>
          <w:sz w:val="22"/>
          <w:szCs w:val="22"/>
        </w:rPr>
        <w:t>identification and support of patients living with obesity</w:t>
      </w:r>
      <w:r w:rsidR="002A4ADE" w:rsidRPr="00FD019F">
        <w:rPr>
          <w:rFonts w:ascii="Arial" w:hAnsi="Arial" w:cs="Arial"/>
          <w:color w:val="000000" w:themeColor="text1"/>
          <w:sz w:val="22"/>
          <w:szCs w:val="22"/>
        </w:rPr>
        <w:t xml:space="preserve">. The </w:t>
      </w:r>
      <w:r w:rsidR="00350BDD" w:rsidRPr="00FD019F">
        <w:rPr>
          <w:rFonts w:ascii="Arial" w:hAnsi="Arial" w:cs="Arial"/>
          <w:color w:val="000000" w:themeColor="text1"/>
          <w:sz w:val="22"/>
          <w:szCs w:val="22"/>
        </w:rPr>
        <w:t xml:space="preserve">weight management specification </w:t>
      </w:r>
      <w:r w:rsidR="00E70206" w:rsidRPr="00FD019F">
        <w:rPr>
          <w:rFonts w:ascii="Arial" w:hAnsi="Arial" w:cs="Arial"/>
          <w:color w:val="000000" w:themeColor="text1"/>
          <w:sz w:val="22"/>
          <w:szCs w:val="22"/>
        </w:rPr>
        <w:t>seeks to:</w:t>
      </w:r>
    </w:p>
    <w:p w14:paraId="7AA50FDF" w14:textId="295ECDCE" w:rsidR="002A4ADE" w:rsidRPr="00FD019F" w:rsidRDefault="002A4ADE" w:rsidP="00E7020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CF63CA" w14:textId="4B8919F9" w:rsidR="00E70206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19F">
        <w:rPr>
          <w:rFonts w:ascii="Arial" w:hAnsi="Arial" w:cs="Arial"/>
        </w:rPr>
        <w:t>N</w:t>
      </w:r>
      <w:r w:rsidR="00E70206" w:rsidRPr="00FD019F">
        <w:rPr>
          <w:rFonts w:ascii="Arial" w:hAnsi="Arial" w:cs="Arial"/>
        </w:rPr>
        <w:t>ormalise conversations about weight and weight management in all</w:t>
      </w:r>
      <w:r w:rsidR="00E31E37" w:rsidRPr="00FD019F">
        <w:rPr>
          <w:rFonts w:ascii="Arial" w:hAnsi="Arial" w:cs="Arial"/>
        </w:rPr>
        <w:t xml:space="preserve"> </w:t>
      </w:r>
      <w:r w:rsidR="00E70206" w:rsidRPr="00FD019F">
        <w:rPr>
          <w:rFonts w:ascii="Arial" w:hAnsi="Arial" w:cs="Arial"/>
        </w:rPr>
        <w:t>consultations, not just those for long-term condition management</w:t>
      </w:r>
    </w:p>
    <w:p w14:paraId="093E5597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75355CC8" w14:textId="7DDDCFDD" w:rsidR="00E70206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19F">
        <w:rPr>
          <w:rFonts w:ascii="Arial" w:hAnsi="Arial" w:cs="Arial"/>
        </w:rPr>
        <w:t>Re</w:t>
      </w:r>
      <w:r w:rsidR="00E70206" w:rsidRPr="00FD019F">
        <w:rPr>
          <w:rFonts w:ascii="Arial" w:hAnsi="Arial" w:cs="Arial"/>
        </w:rPr>
        <w:t>cognise that these conversations need to be handled sensitively, using</w:t>
      </w:r>
      <w:r w:rsidR="00E31E37" w:rsidRPr="00FD019F">
        <w:rPr>
          <w:rFonts w:ascii="Arial" w:hAnsi="Arial" w:cs="Arial"/>
        </w:rPr>
        <w:t xml:space="preserve"> </w:t>
      </w:r>
      <w:r w:rsidR="00E70206" w:rsidRPr="00FD019F">
        <w:rPr>
          <w:rFonts w:ascii="Arial" w:hAnsi="Arial" w:cs="Arial"/>
        </w:rPr>
        <w:t>shared decision-making principles, to understand if a patient would want to</w:t>
      </w:r>
      <w:r w:rsidRPr="00FD019F">
        <w:rPr>
          <w:rFonts w:ascii="Arial" w:hAnsi="Arial" w:cs="Arial"/>
        </w:rPr>
        <w:t xml:space="preserve"> </w:t>
      </w:r>
      <w:r w:rsidR="00E70206" w:rsidRPr="00FD019F">
        <w:rPr>
          <w:rFonts w:ascii="Arial" w:hAnsi="Arial" w:cs="Arial"/>
        </w:rPr>
        <w:t>be referred</w:t>
      </w:r>
    </w:p>
    <w:p w14:paraId="12CD0E12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6E7B4412" w14:textId="65BAD619" w:rsidR="002A4ADE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19F">
        <w:rPr>
          <w:rFonts w:ascii="Arial" w:hAnsi="Arial" w:cs="Arial"/>
        </w:rPr>
        <w:t>Consider how all opportunities for the identification of people living with obesity are maximised, including how this can be achieved during telephone, virtual and face to face consultations</w:t>
      </w:r>
    </w:p>
    <w:p w14:paraId="2ACF503E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71DE25F0" w14:textId="7A85979B" w:rsidR="002A4ADE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19F">
        <w:rPr>
          <w:rFonts w:ascii="Arial" w:hAnsi="Arial" w:cs="Arial"/>
        </w:rPr>
        <w:t xml:space="preserve">Encourage patients to provide the </w:t>
      </w:r>
      <w:r w:rsidR="00350BDD" w:rsidRPr="00FD019F">
        <w:rPr>
          <w:rFonts w:ascii="Arial" w:hAnsi="Arial" w:cs="Arial"/>
        </w:rPr>
        <w:t>organisation</w:t>
      </w:r>
      <w:r w:rsidRPr="00FD019F">
        <w:rPr>
          <w:rFonts w:ascii="Arial" w:hAnsi="Arial" w:cs="Arial"/>
        </w:rPr>
        <w:t xml:space="preserve"> </w:t>
      </w:r>
      <w:r w:rsidR="00E92F6C" w:rsidRPr="00FD019F">
        <w:rPr>
          <w:rFonts w:ascii="Arial" w:hAnsi="Arial" w:cs="Arial"/>
        </w:rPr>
        <w:t xml:space="preserve">with </w:t>
      </w:r>
      <w:r w:rsidRPr="00FD019F">
        <w:rPr>
          <w:rFonts w:ascii="Arial" w:hAnsi="Arial" w:cs="Arial"/>
        </w:rPr>
        <w:t xml:space="preserve">information </w:t>
      </w:r>
      <w:r w:rsidR="00350BDD" w:rsidRPr="00FD019F">
        <w:rPr>
          <w:rFonts w:ascii="Arial" w:hAnsi="Arial" w:cs="Arial"/>
        </w:rPr>
        <w:t xml:space="preserve">regarding </w:t>
      </w:r>
      <w:r w:rsidRPr="00FD019F">
        <w:rPr>
          <w:rFonts w:ascii="Arial" w:hAnsi="Arial" w:cs="Arial"/>
        </w:rPr>
        <w:t xml:space="preserve">their weight, </w:t>
      </w:r>
      <w:r w:rsidR="00DB4B4D" w:rsidRPr="00FD019F">
        <w:rPr>
          <w:rFonts w:ascii="Arial" w:hAnsi="Arial" w:cs="Arial"/>
        </w:rPr>
        <w:t>BMI</w:t>
      </w:r>
      <w:r w:rsidRPr="00FD019F">
        <w:rPr>
          <w:rFonts w:ascii="Arial" w:hAnsi="Arial" w:cs="Arial"/>
        </w:rPr>
        <w:t xml:space="preserve"> and other self-reportable health information</w:t>
      </w:r>
    </w:p>
    <w:p w14:paraId="682CB7DC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0E5CA68B" w14:textId="7A5FAD8C" w:rsidR="002A4ADE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D019F">
        <w:rPr>
          <w:rFonts w:ascii="Arial" w:hAnsi="Arial" w:cs="Arial"/>
        </w:rPr>
        <w:t xml:space="preserve">Record and </w:t>
      </w:r>
      <w:r w:rsidRPr="00FD019F">
        <w:rPr>
          <w:rFonts w:ascii="Arial" w:hAnsi="Arial" w:cs="Arial"/>
          <w:color w:val="000000" w:themeColor="text1"/>
        </w:rPr>
        <w:t>update BMI annually whe</w:t>
      </w:r>
      <w:r w:rsidR="00283D8F" w:rsidRPr="00FD019F">
        <w:rPr>
          <w:rFonts w:ascii="Arial" w:hAnsi="Arial" w:cs="Arial"/>
          <w:color w:val="000000" w:themeColor="text1"/>
        </w:rPr>
        <w:t>n</w:t>
      </w:r>
      <w:r w:rsidRPr="00FD019F">
        <w:rPr>
          <w:rFonts w:ascii="Arial" w:hAnsi="Arial" w:cs="Arial"/>
          <w:color w:val="000000" w:themeColor="text1"/>
        </w:rPr>
        <w:t xml:space="preserve"> a patient has had a BMI recorded in their record that indicates they are living with obesity</w:t>
      </w:r>
    </w:p>
    <w:p w14:paraId="5768B861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4E3A4913" w14:textId="3D1D406B" w:rsidR="002A4ADE" w:rsidRPr="00FD019F" w:rsidRDefault="002A4ADE" w:rsidP="00F1163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FD019F">
        <w:rPr>
          <w:rFonts w:ascii="Arial" w:hAnsi="Arial" w:cs="Arial"/>
          <w:color w:val="000000" w:themeColor="text1"/>
        </w:rPr>
        <w:t>Record and maintain details of available weight management services and</w:t>
      </w:r>
    </w:p>
    <w:p w14:paraId="2D122D8D" w14:textId="60EC4917" w:rsidR="002A4ADE" w:rsidRPr="00FD019F" w:rsidRDefault="002A4ADE" w:rsidP="004A334C">
      <w:pPr>
        <w:pStyle w:val="ListParagraph"/>
        <w:rPr>
          <w:rFonts w:ascii="Arial" w:hAnsi="Arial" w:cs="Arial"/>
          <w:color w:val="000000" w:themeColor="text1"/>
        </w:rPr>
      </w:pPr>
      <w:r w:rsidRPr="00FD019F">
        <w:rPr>
          <w:rFonts w:ascii="Arial" w:hAnsi="Arial" w:cs="Arial"/>
          <w:color w:val="000000" w:themeColor="text1"/>
        </w:rPr>
        <w:t xml:space="preserve">how to refer </w:t>
      </w:r>
      <w:r w:rsidR="00BE5523" w:rsidRPr="00FD019F">
        <w:rPr>
          <w:rFonts w:ascii="Arial" w:hAnsi="Arial" w:cs="Arial"/>
          <w:color w:val="000000" w:themeColor="text1"/>
        </w:rPr>
        <w:t>patients</w:t>
      </w:r>
      <w:r w:rsidRPr="00FD019F">
        <w:rPr>
          <w:rFonts w:ascii="Arial" w:hAnsi="Arial" w:cs="Arial"/>
          <w:color w:val="000000" w:themeColor="text1"/>
        </w:rPr>
        <w:t xml:space="preserve"> to the appropriate service including:</w:t>
      </w:r>
    </w:p>
    <w:p w14:paraId="3CD87762" w14:textId="77777777" w:rsidR="002A4ADE" w:rsidRPr="00FD019F" w:rsidRDefault="002A4ADE" w:rsidP="004A334C">
      <w:pPr>
        <w:pStyle w:val="ListParagraph"/>
        <w:rPr>
          <w:rFonts w:ascii="Arial" w:hAnsi="Arial" w:cs="Arial"/>
        </w:rPr>
      </w:pPr>
    </w:p>
    <w:p w14:paraId="162E6D51" w14:textId="7B778FAF" w:rsidR="00F85273" w:rsidRPr="00FD019F" w:rsidRDefault="00F85273" w:rsidP="00E92F6C">
      <w:pPr>
        <w:pStyle w:val="ListParagraph"/>
        <w:numPr>
          <w:ilvl w:val="0"/>
          <w:numId w:val="4"/>
        </w:numPr>
        <w:ind w:left="1276" w:hanging="425"/>
        <w:rPr>
          <w:rFonts w:ascii="Arial" w:hAnsi="Arial" w:cs="Arial"/>
          <w:color w:val="000000" w:themeColor="text1"/>
        </w:rPr>
      </w:pPr>
      <w:hyperlink r:id="rId18" w:history="1">
        <w:r w:rsidRPr="00FD019F">
          <w:rPr>
            <w:rStyle w:val="Hyperlink"/>
            <w:rFonts w:ascii="Arial" w:hAnsi="Arial" w:cs="Arial"/>
          </w:rPr>
          <w:t>NHS Digital Weight Management Services</w:t>
        </w:r>
      </w:hyperlink>
    </w:p>
    <w:p w14:paraId="6E79ED67" w14:textId="34D0316C" w:rsidR="00872D89" w:rsidRPr="00FD019F" w:rsidRDefault="00FC60AC" w:rsidP="004D2274">
      <w:pPr>
        <w:pStyle w:val="ListParagraph"/>
        <w:numPr>
          <w:ilvl w:val="0"/>
          <w:numId w:val="4"/>
        </w:numPr>
        <w:ind w:left="1276" w:hanging="425"/>
        <w:rPr>
          <w:rFonts w:ascii="Arial" w:hAnsi="Arial" w:cs="Arial"/>
          <w:color w:val="000000" w:themeColor="text1"/>
        </w:rPr>
      </w:pPr>
      <w:hyperlink r:id="rId19" w:history="1">
        <w:r w:rsidRPr="00FD019F">
          <w:rPr>
            <w:rStyle w:val="Hyperlink"/>
            <w:rFonts w:ascii="Arial" w:hAnsi="Arial" w:cs="Arial"/>
          </w:rPr>
          <w:t>NHS Digital weight management: Healthcare professional toolkit</w:t>
        </w:r>
      </w:hyperlink>
    </w:p>
    <w:p w14:paraId="4EACF2AD" w14:textId="28A178C0" w:rsidR="00A25EE4" w:rsidRPr="00FD019F" w:rsidRDefault="006A3590" w:rsidP="00E92F6C">
      <w:pPr>
        <w:pStyle w:val="ListParagraph"/>
        <w:numPr>
          <w:ilvl w:val="0"/>
          <w:numId w:val="4"/>
        </w:numPr>
        <w:ind w:left="1276" w:hanging="425"/>
        <w:rPr>
          <w:rFonts w:ascii="Arial" w:hAnsi="Arial" w:cs="Arial"/>
          <w:color w:val="000000" w:themeColor="text1"/>
        </w:rPr>
      </w:pPr>
      <w:hyperlink r:id="rId20" w:history="1">
        <w:r w:rsidRPr="00FD019F">
          <w:rPr>
            <w:rStyle w:val="Hyperlink"/>
            <w:rFonts w:ascii="Arial" w:hAnsi="Arial" w:cs="Arial"/>
          </w:rPr>
          <w:t>T</w:t>
        </w:r>
        <w:r w:rsidR="00A25EE4" w:rsidRPr="00FD019F">
          <w:rPr>
            <w:rStyle w:val="Hyperlink"/>
            <w:rFonts w:ascii="Arial" w:hAnsi="Arial" w:cs="Arial"/>
          </w:rPr>
          <w:t xml:space="preserve">ier 2 </w:t>
        </w:r>
        <w:r w:rsidR="00A643F1" w:rsidRPr="00FD019F">
          <w:rPr>
            <w:rStyle w:val="Hyperlink"/>
            <w:rFonts w:ascii="Arial" w:hAnsi="Arial" w:cs="Arial"/>
          </w:rPr>
          <w:t>behavioural weight management services</w:t>
        </w:r>
      </w:hyperlink>
    </w:p>
    <w:p w14:paraId="549FA943" w14:textId="15D99E5B" w:rsidR="00A25EE4" w:rsidRPr="00FD019F" w:rsidRDefault="00FD019F" w:rsidP="00E92F6C">
      <w:pPr>
        <w:pStyle w:val="ListParagraph"/>
        <w:numPr>
          <w:ilvl w:val="0"/>
          <w:numId w:val="4"/>
        </w:numPr>
        <w:ind w:left="1276" w:hanging="425"/>
        <w:rPr>
          <w:rFonts w:ascii="Arial" w:hAnsi="Arial" w:cs="Arial"/>
          <w:color w:val="000000" w:themeColor="text1"/>
        </w:rPr>
      </w:pPr>
      <w:hyperlink r:id="rId21" w:history="1">
        <w:r w:rsidRPr="00FD019F">
          <w:rPr>
            <w:rStyle w:val="Hyperlink"/>
            <w:rFonts w:ascii="Arial" w:hAnsi="Arial" w:cs="Arial"/>
          </w:rPr>
          <w:t>NHS Diabetes Prevention Programme</w:t>
        </w:r>
      </w:hyperlink>
    </w:p>
    <w:p w14:paraId="154A44A0" w14:textId="5D37596F" w:rsidR="00F85273" w:rsidRPr="00FD019F" w:rsidRDefault="00F85273" w:rsidP="000B23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A468789" w14:textId="585ECCEE" w:rsidR="00F85273" w:rsidRPr="00FD019F" w:rsidRDefault="00A25EE4" w:rsidP="004A334C">
      <w:pPr>
        <w:rPr>
          <w:rFonts w:ascii="Arial" w:hAnsi="Arial" w:cs="Arial"/>
          <w:color w:val="000000" w:themeColor="text1"/>
          <w:sz w:val="22"/>
          <w:szCs w:val="22"/>
        </w:rPr>
      </w:pPr>
      <w:r w:rsidRPr="00FD019F">
        <w:rPr>
          <w:rFonts w:ascii="Arial" w:hAnsi="Arial" w:cs="Arial"/>
          <w:color w:val="000000" w:themeColor="text1"/>
          <w:sz w:val="22"/>
          <w:szCs w:val="22"/>
        </w:rPr>
        <w:t xml:space="preserve">Referrals are only to be made by suitably qualified and trained </w:t>
      </w:r>
      <w:r w:rsidR="00475165" w:rsidRPr="00FD019F">
        <w:rPr>
          <w:rFonts w:ascii="Arial" w:hAnsi="Arial" w:cs="Arial"/>
          <w:color w:val="000000" w:themeColor="text1"/>
          <w:sz w:val="22"/>
          <w:szCs w:val="22"/>
        </w:rPr>
        <w:t>personnel.</w:t>
      </w:r>
    </w:p>
    <w:sectPr w:rsidR="00F85273" w:rsidRPr="00FD019F" w:rsidSect="00532578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20"/>
      <w:pgMar w:top="1440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1AFC" w14:textId="77777777" w:rsidR="003F2496" w:rsidRDefault="003F2496" w:rsidP="00D85E4D">
      <w:r>
        <w:separator/>
      </w:r>
    </w:p>
  </w:endnote>
  <w:endnote w:type="continuationSeparator" w:id="0">
    <w:p w14:paraId="2432DA53" w14:textId="77777777" w:rsidR="003F2496" w:rsidRDefault="003F2496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067809"/>
      <w:docPartObj>
        <w:docPartGallery w:val="Page Numbers (Bottom of Page)"/>
        <w:docPartUnique/>
      </w:docPartObj>
    </w:sdtPr>
    <w:sdtContent>
      <w:p w14:paraId="4E10D983" w14:textId="6898D4C8" w:rsidR="00532578" w:rsidRDefault="00532578" w:rsidP="00EA15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9CE42D" w14:textId="77777777" w:rsidR="00532578" w:rsidRDefault="00532578" w:rsidP="005325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060312"/>
      <w:docPartObj>
        <w:docPartGallery w:val="Page Numbers (Bottom of Page)"/>
        <w:docPartUnique/>
      </w:docPartObj>
    </w:sdtPr>
    <w:sdtContent>
      <w:p w14:paraId="19651261" w14:textId="441228A4" w:rsidR="00532578" w:rsidRDefault="00532578" w:rsidP="00EA15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EE839" w14:textId="7FB0AA82" w:rsidR="00204062" w:rsidRDefault="00204062" w:rsidP="00532578">
    <w:pPr>
      <w:pStyle w:val="Footer"/>
      <w:ind w:right="360"/>
      <w:jc w:val="right"/>
    </w:pPr>
  </w:p>
  <w:p w14:paraId="54A9CDA4" w14:textId="212FD9AF" w:rsidR="00204062" w:rsidRPr="00532578" w:rsidRDefault="00204062" w:rsidP="0053257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F6EAAC6" w14:textId="77777777" w:rsidR="00204062" w:rsidRDefault="002040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B3C4" w14:textId="66247F2D" w:rsidR="00532578" w:rsidRDefault="00532578" w:rsidP="005325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CF75" w14:textId="77777777" w:rsidR="003F2496" w:rsidRDefault="003F2496" w:rsidP="00D85E4D">
      <w:r>
        <w:separator/>
      </w:r>
    </w:p>
  </w:footnote>
  <w:footnote w:type="continuationSeparator" w:id="0">
    <w:p w14:paraId="5D503FAA" w14:textId="77777777" w:rsidR="003F2496" w:rsidRDefault="003F2496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98FC" w14:textId="77777777" w:rsidR="00204062" w:rsidRPr="00675084" w:rsidRDefault="00204062" w:rsidP="00675084">
    <w:pPr>
      <w:pStyle w:val="Header"/>
    </w:pPr>
  </w:p>
  <w:p w14:paraId="3C5C7DDD" w14:textId="77777777" w:rsidR="00204062" w:rsidRDefault="002040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E5E" w14:textId="5429C245" w:rsidR="00532578" w:rsidRPr="0098699B" w:rsidRDefault="00A30CE0" w:rsidP="00A30CE0">
    <w:pPr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Sheerwater Health Centre</w:t>
    </w:r>
  </w:p>
  <w:p w14:paraId="108BC52D" w14:textId="77777777" w:rsidR="00532578" w:rsidRPr="00A30CE0" w:rsidRDefault="0053257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8A1AF5"/>
    <w:multiLevelType w:val="hybridMultilevel"/>
    <w:tmpl w:val="AF0E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3369"/>
    <w:multiLevelType w:val="hybridMultilevel"/>
    <w:tmpl w:val="D0E478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7044"/>
    <w:multiLevelType w:val="hybridMultilevel"/>
    <w:tmpl w:val="4022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DBE"/>
    <w:multiLevelType w:val="hybridMultilevel"/>
    <w:tmpl w:val="DDC0D1B2"/>
    <w:lvl w:ilvl="0" w:tplc="1C32122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2BAE"/>
    <w:multiLevelType w:val="hybridMultilevel"/>
    <w:tmpl w:val="E4C2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41DF"/>
    <w:multiLevelType w:val="hybridMultilevel"/>
    <w:tmpl w:val="A678C8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57951">
    <w:abstractNumId w:val="0"/>
  </w:num>
  <w:num w:numId="2" w16cid:durableId="2139569614">
    <w:abstractNumId w:val="3"/>
  </w:num>
  <w:num w:numId="3" w16cid:durableId="2115633237">
    <w:abstractNumId w:val="1"/>
  </w:num>
  <w:num w:numId="4" w16cid:durableId="934627070">
    <w:abstractNumId w:val="6"/>
  </w:num>
  <w:num w:numId="5" w16cid:durableId="1593977103">
    <w:abstractNumId w:val="2"/>
  </w:num>
  <w:num w:numId="6" w16cid:durableId="1835993380">
    <w:abstractNumId w:val="5"/>
  </w:num>
  <w:num w:numId="7" w16cid:durableId="1702169132">
    <w:abstractNumId w:val="4"/>
  </w:num>
  <w:num w:numId="8" w16cid:durableId="116223673">
    <w:abstractNumId w:val="0"/>
  </w:num>
  <w:num w:numId="9" w16cid:durableId="2040978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1030F"/>
    <w:rsid w:val="00013FAE"/>
    <w:rsid w:val="000155E6"/>
    <w:rsid w:val="00015804"/>
    <w:rsid w:val="000171BB"/>
    <w:rsid w:val="00024448"/>
    <w:rsid w:val="000303C6"/>
    <w:rsid w:val="000310AF"/>
    <w:rsid w:val="00034C0F"/>
    <w:rsid w:val="000353E8"/>
    <w:rsid w:val="00042369"/>
    <w:rsid w:val="0004301A"/>
    <w:rsid w:val="000433B9"/>
    <w:rsid w:val="00044905"/>
    <w:rsid w:val="000522D4"/>
    <w:rsid w:val="00053733"/>
    <w:rsid w:val="00054520"/>
    <w:rsid w:val="000564E7"/>
    <w:rsid w:val="00057BB0"/>
    <w:rsid w:val="000606A2"/>
    <w:rsid w:val="00061C38"/>
    <w:rsid w:val="0006260A"/>
    <w:rsid w:val="00063708"/>
    <w:rsid w:val="00064D96"/>
    <w:rsid w:val="00067DD3"/>
    <w:rsid w:val="000709FB"/>
    <w:rsid w:val="00071CCE"/>
    <w:rsid w:val="00072854"/>
    <w:rsid w:val="000741BE"/>
    <w:rsid w:val="00075116"/>
    <w:rsid w:val="000804B8"/>
    <w:rsid w:val="0008472C"/>
    <w:rsid w:val="000858D5"/>
    <w:rsid w:val="00085D3A"/>
    <w:rsid w:val="00087F3F"/>
    <w:rsid w:val="00091880"/>
    <w:rsid w:val="00092315"/>
    <w:rsid w:val="00092CF7"/>
    <w:rsid w:val="00094747"/>
    <w:rsid w:val="00095363"/>
    <w:rsid w:val="00096496"/>
    <w:rsid w:val="0009782B"/>
    <w:rsid w:val="000A0071"/>
    <w:rsid w:val="000A2072"/>
    <w:rsid w:val="000A2B65"/>
    <w:rsid w:val="000A4058"/>
    <w:rsid w:val="000A5A72"/>
    <w:rsid w:val="000A72ED"/>
    <w:rsid w:val="000B0217"/>
    <w:rsid w:val="000B02D2"/>
    <w:rsid w:val="000B0F2F"/>
    <w:rsid w:val="000B2339"/>
    <w:rsid w:val="000B3712"/>
    <w:rsid w:val="000C329A"/>
    <w:rsid w:val="000C558B"/>
    <w:rsid w:val="000C69F7"/>
    <w:rsid w:val="000D0020"/>
    <w:rsid w:val="000D0059"/>
    <w:rsid w:val="000D2BB3"/>
    <w:rsid w:val="000D30B0"/>
    <w:rsid w:val="000D46C4"/>
    <w:rsid w:val="000D717B"/>
    <w:rsid w:val="000E375E"/>
    <w:rsid w:val="000E63A1"/>
    <w:rsid w:val="000F230D"/>
    <w:rsid w:val="000F35E7"/>
    <w:rsid w:val="000F4553"/>
    <w:rsid w:val="000F4FBA"/>
    <w:rsid w:val="000F50CE"/>
    <w:rsid w:val="000F5FF7"/>
    <w:rsid w:val="00101308"/>
    <w:rsid w:val="001026B3"/>
    <w:rsid w:val="001037C5"/>
    <w:rsid w:val="00105D87"/>
    <w:rsid w:val="00106936"/>
    <w:rsid w:val="00107BC3"/>
    <w:rsid w:val="00111E00"/>
    <w:rsid w:val="001128AD"/>
    <w:rsid w:val="00120450"/>
    <w:rsid w:val="00120EEB"/>
    <w:rsid w:val="00123E8D"/>
    <w:rsid w:val="001261BB"/>
    <w:rsid w:val="001312F1"/>
    <w:rsid w:val="00133ECB"/>
    <w:rsid w:val="00137521"/>
    <w:rsid w:val="001428DE"/>
    <w:rsid w:val="001429C3"/>
    <w:rsid w:val="001435AE"/>
    <w:rsid w:val="00144A86"/>
    <w:rsid w:val="001462F2"/>
    <w:rsid w:val="00152800"/>
    <w:rsid w:val="00152CAB"/>
    <w:rsid w:val="00154D70"/>
    <w:rsid w:val="00157755"/>
    <w:rsid w:val="00157D41"/>
    <w:rsid w:val="00160F3C"/>
    <w:rsid w:val="00162909"/>
    <w:rsid w:val="001655BF"/>
    <w:rsid w:val="00165B9D"/>
    <w:rsid w:val="00166355"/>
    <w:rsid w:val="00166F39"/>
    <w:rsid w:val="00167C93"/>
    <w:rsid w:val="00172ACD"/>
    <w:rsid w:val="00172FC1"/>
    <w:rsid w:val="00176692"/>
    <w:rsid w:val="00177F9F"/>
    <w:rsid w:val="00182759"/>
    <w:rsid w:val="001828CF"/>
    <w:rsid w:val="001872B9"/>
    <w:rsid w:val="001903E3"/>
    <w:rsid w:val="0019060B"/>
    <w:rsid w:val="00190C4A"/>
    <w:rsid w:val="0019118A"/>
    <w:rsid w:val="00192FEE"/>
    <w:rsid w:val="0019389A"/>
    <w:rsid w:val="00193FD6"/>
    <w:rsid w:val="00197A24"/>
    <w:rsid w:val="00197E1C"/>
    <w:rsid w:val="001A01D7"/>
    <w:rsid w:val="001A3ED9"/>
    <w:rsid w:val="001A4494"/>
    <w:rsid w:val="001A5C15"/>
    <w:rsid w:val="001A735C"/>
    <w:rsid w:val="001A7A41"/>
    <w:rsid w:val="001B15E6"/>
    <w:rsid w:val="001B46CA"/>
    <w:rsid w:val="001C2EC0"/>
    <w:rsid w:val="001C6E28"/>
    <w:rsid w:val="001D2DE2"/>
    <w:rsid w:val="001E0351"/>
    <w:rsid w:val="001E4146"/>
    <w:rsid w:val="001E7759"/>
    <w:rsid w:val="001F2EBF"/>
    <w:rsid w:val="001F48C2"/>
    <w:rsid w:val="001F7AF4"/>
    <w:rsid w:val="0020058A"/>
    <w:rsid w:val="00204062"/>
    <w:rsid w:val="00204801"/>
    <w:rsid w:val="00205DEE"/>
    <w:rsid w:val="002060D0"/>
    <w:rsid w:val="00206BA6"/>
    <w:rsid w:val="00211ED1"/>
    <w:rsid w:val="002127C6"/>
    <w:rsid w:val="00215859"/>
    <w:rsid w:val="00216865"/>
    <w:rsid w:val="00217624"/>
    <w:rsid w:val="0022234A"/>
    <w:rsid w:val="00222365"/>
    <w:rsid w:val="00223D46"/>
    <w:rsid w:val="00224955"/>
    <w:rsid w:val="00226959"/>
    <w:rsid w:val="00231630"/>
    <w:rsid w:val="002319D7"/>
    <w:rsid w:val="00231DAE"/>
    <w:rsid w:val="00232556"/>
    <w:rsid w:val="002335CF"/>
    <w:rsid w:val="00236D62"/>
    <w:rsid w:val="00241E23"/>
    <w:rsid w:val="0024382A"/>
    <w:rsid w:val="0024498D"/>
    <w:rsid w:val="00245C51"/>
    <w:rsid w:val="0024704E"/>
    <w:rsid w:val="002543AE"/>
    <w:rsid w:val="00255F5A"/>
    <w:rsid w:val="0028394A"/>
    <w:rsid w:val="00283D8F"/>
    <w:rsid w:val="00285204"/>
    <w:rsid w:val="00290214"/>
    <w:rsid w:val="002914C9"/>
    <w:rsid w:val="00291D2E"/>
    <w:rsid w:val="002927DC"/>
    <w:rsid w:val="00292C5E"/>
    <w:rsid w:val="0029563A"/>
    <w:rsid w:val="00296BCF"/>
    <w:rsid w:val="002A4ADE"/>
    <w:rsid w:val="002A6429"/>
    <w:rsid w:val="002A7248"/>
    <w:rsid w:val="002B1E7F"/>
    <w:rsid w:val="002B437A"/>
    <w:rsid w:val="002B54C1"/>
    <w:rsid w:val="002B6D5A"/>
    <w:rsid w:val="002B710B"/>
    <w:rsid w:val="002C0F0A"/>
    <w:rsid w:val="002C2ABC"/>
    <w:rsid w:val="002C3F07"/>
    <w:rsid w:val="002C4B1B"/>
    <w:rsid w:val="002C6527"/>
    <w:rsid w:val="002C7508"/>
    <w:rsid w:val="002D18C1"/>
    <w:rsid w:val="002D48FF"/>
    <w:rsid w:val="002D53CC"/>
    <w:rsid w:val="002D53FA"/>
    <w:rsid w:val="002D5A02"/>
    <w:rsid w:val="002D6E1E"/>
    <w:rsid w:val="002E241E"/>
    <w:rsid w:val="002E2B2A"/>
    <w:rsid w:val="002E79AD"/>
    <w:rsid w:val="002F1096"/>
    <w:rsid w:val="002F3223"/>
    <w:rsid w:val="002F4808"/>
    <w:rsid w:val="002F7209"/>
    <w:rsid w:val="003000BD"/>
    <w:rsid w:val="00300373"/>
    <w:rsid w:val="00302507"/>
    <w:rsid w:val="00302B80"/>
    <w:rsid w:val="00303B80"/>
    <w:rsid w:val="00307E22"/>
    <w:rsid w:val="00311036"/>
    <w:rsid w:val="0031325B"/>
    <w:rsid w:val="00321B81"/>
    <w:rsid w:val="00321E06"/>
    <w:rsid w:val="003223D3"/>
    <w:rsid w:val="00322DD5"/>
    <w:rsid w:val="00323505"/>
    <w:rsid w:val="00326759"/>
    <w:rsid w:val="003316B9"/>
    <w:rsid w:val="00331A8D"/>
    <w:rsid w:val="0033250E"/>
    <w:rsid w:val="00332780"/>
    <w:rsid w:val="003350E8"/>
    <w:rsid w:val="00337B8F"/>
    <w:rsid w:val="00340086"/>
    <w:rsid w:val="003412F1"/>
    <w:rsid w:val="00341E78"/>
    <w:rsid w:val="00343E43"/>
    <w:rsid w:val="00343F2F"/>
    <w:rsid w:val="00344113"/>
    <w:rsid w:val="00350514"/>
    <w:rsid w:val="00350BDD"/>
    <w:rsid w:val="0035306F"/>
    <w:rsid w:val="0035600D"/>
    <w:rsid w:val="00357D85"/>
    <w:rsid w:val="00361EBF"/>
    <w:rsid w:val="0036512F"/>
    <w:rsid w:val="00366213"/>
    <w:rsid w:val="00366CEC"/>
    <w:rsid w:val="00367A39"/>
    <w:rsid w:val="00377FB9"/>
    <w:rsid w:val="00381D98"/>
    <w:rsid w:val="003833EE"/>
    <w:rsid w:val="00383869"/>
    <w:rsid w:val="003841C6"/>
    <w:rsid w:val="003870E1"/>
    <w:rsid w:val="00387D5B"/>
    <w:rsid w:val="00390205"/>
    <w:rsid w:val="00390BF0"/>
    <w:rsid w:val="00395603"/>
    <w:rsid w:val="0039638F"/>
    <w:rsid w:val="003A08C7"/>
    <w:rsid w:val="003A44B9"/>
    <w:rsid w:val="003B347C"/>
    <w:rsid w:val="003B3F75"/>
    <w:rsid w:val="003B45F0"/>
    <w:rsid w:val="003B6F27"/>
    <w:rsid w:val="003B70D9"/>
    <w:rsid w:val="003C1644"/>
    <w:rsid w:val="003C4936"/>
    <w:rsid w:val="003D1BE1"/>
    <w:rsid w:val="003D27DE"/>
    <w:rsid w:val="003D648E"/>
    <w:rsid w:val="003D679B"/>
    <w:rsid w:val="003D7BC6"/>
    <w:rsid w:val="003D7BFC"/>
    <w:rsid w:val="003E05CB"/>
    <w:rsid w:val="003E1B31"/>
    <w:rsid w:val="003E2327"/>
    <w:rsid w:val="003E3117"/>
    <w:rsid w:val="003E4EBA"/>
    <w:rsid w:val="003E5B9C"/>
    <w:rsid w:val="003E668B"/>
    <w:rsid w:val="003E72F8"/>
    <w:rsid w:val="003E7B08"/>
    <w:rsid w:val="003F2496"/>
    <w:rsid w:val="003F24FC"/>
    <w:rsid w:val="003F36B9"/>
    <w:rsid w:val="003F3A56"/>
    <w:rsid w:val="003F4D58"/>
    <w:rsid w:val="003F6513"/>
    <w:rsid w:val="003F6E45"/>
    <w:rsid w:val="00404959"/>
    <w:rsid w:val="0040732B"/>
    <w:rsid w:val="00410210"/>
    <w:rsid w:val="00411341"/>
    <w:rsid w:val="00411A39"/>
    <w:rsid w:val="00411AF8"/>
    <w:rsid w:val="004124BE"/>
    <w:rsid w:val="00413677"/>
    <w:rsid w:val="00414584"/>
    <w:rsid w:val="004163D3"/>
    <w:rsid w:val="004169CA"/>
    <w:rsid w:val="00424331"/>
    <w:rsid w:val="00425686"/>
    <w:rsid w:val="00427511"/>
    <w:rsid w:val="0043549F"/>
    <w:rsid w:val="00442BCE"/>
    <w:rsid w:val="00443C57"/>
    <w:rsid w:val="0044525A"/>
    <w:rsid w:val="00445E5F"/>
    <w:rsid w:val="00452CAE"/>
    <w:rsid w:val="00453016"/>
    <w:rsid w:val="00453576"/>
    <w:rsid w:val="00453C5D"/>
    <w:rsid w:val="00454108"/>
    <w:rsid w:val="00455E3B"/>
    <w:rsid w:val="00456A8F"/>
    <w:rsid w:val="004605C8"/>
    <w:rsid w:val="00460A6F"/>
    <w:rsid w:val="00460BA9"/>
    <w:rsid w:val="0046200B"/>
    <w:rsid w:val="00462F7B"/>
    <w:rsid w:val="00463F05"/>
    <w:rsid w:val="00464F50"/>
    <w:rsid w:val="004674C5"/>
    <w:rsid w:val="00467B44"/>
    <w:rsid w:val="00470B92"/>
    <w:rsid w:val="004719AA"/>
    <w:rsid w:val="00475165"/>
    <w:rsid w:val="004763A7"/>
    <w:rsid w:val="00477D2D"/>
    <w:rsid w:val="004807F4"/>
    <w:rsid w:val="004818EC"/>
    <w:rsid w:val="00486251"/>
    <w:rsid w:val="00487145"/>
    <w:rsid w:val="00493E60"/>
    <w:rsid w:val="004950A8"/>
    <w:rsid w:val="004966BF"/>
    <w:rsid w:val="004A1C84"/>
    <w:rsid w:val="004A2D8A"/>
    <w:rsid w:val="004A2FBC"/>
    <w:rsid w:val="004A334C"/>
    <w:rsid w:val="004A5D35"/>
    <w:rsid w:val="004B00A2"/>
    <w:rsid w:val="004B4CC8"/>
    <w:rsid w:val="004B6FF6"/>
    <w:rsid w:val="004C0649"/>
    <w:rsid w:val="004C5D83"/>
    <w:rsid w:val="004C604E"/>
    <w:rsid w:val="004C7D9F"/>
    <w:rsid w:val="004D0DBF"/>
    <w:rsid w:val="004D2274"/>
    <w:rsid w:val="004D2F5B"/>
    <w:rsid w:val="004D3B24"/>
    <w:rsid w:val="004D3CFB"/>
    <w:rsid w:val="004D4FB9"/>
    <w:rsid w:val="004D5971"/>
    <w:rsid w:val="004D5CED"/>
    <w:rsid w:val="004E0333"/>
    <w:rsid w:val="004E458A"/>
    <w:rsid w:val="004E4A80"/>
    <w:rsid w:val="004E5777"/>
    <w:rsid w:val="004E647A"/>
    <w:rsid w:val="004E7453"/>
    <w:rsid w:val="004F0138"/>
    <w:rsid w:val="004F11CB"/>
    <w:rsid w:val="004F122F"/>
    <w:rsid w:val="004F43B6"/>
    <w:rsid w:val="004F54B1"/>
    <w:rsid w:val="004F587B"/>
    <w:rsid w:val="004F62E8"/>
    <w:rsid w:val="004F7E37"/>
    <w:rsid w:val="0050083E"/>
    <w:rsid w:val="00502F88"/>
    <w:rsid w:val="00505A60"/>
    <w:rsid w:val="005067B1"/>
    <w:rsid w:val="005068EC"/>
    <w:rsid w:val="00506F29"/>
    <w:rsid w:val="0050701D"/>
    <w:rsid w:val="0051519C"/>
    <w:rsid w:val="00515291"/>
    <w:rsid w:val="00527B68"/>
    <w:rsid w:val="005306C3"/>
    <w:rsid w:val="00530773"/>
    <w:rsid w:val="00530FF1"/>
    <w:rsid w:val="00531A24"/>
    <w:rsid w:val="00532578"/>
    <w:rsid w:val="005401B9"/>
    <w:rsid w:val="005407DE"/>
    <w:rsid w:val="00544F9B"/>
    <w:rsid w:val="00552245"/>
    <w:rsid w:val="00556F5B"/>
    <w:rsid w:val="005629E0"/>
    <w:rsid w:val="005643FE"/>
    <w:rsid w:val="00564E93"/>
    <w:rsid w:val="00574ADC"/>
    <w:rsid w:val="00577116"/>
    <w:rsid w:val="005841A2"/>
    <w:rsid w:val="005923E7"/>
    <w:rsid w:val="0059606A"/>
    <w:rsid w:val="005A2B1C"/>
    <w:rsid w:val="005A429E"/>
    <w:rsid w:val="005A5D75"/>
    <w:rsid w:val="005A695F"/>
    <w:rsid w:val="005A741B"/>
    <w:rsid w:val="005A7444"/>
    <w:rsid w:val="005B058D"/>
    <w:rsid w:val="005B0AE6"/>
    <w:rsid w:val="005B27EC"/>
    <w:rsid w:val="005C0233"/>
    <w:rsid w:val="005C6628"/>
    <w:rsid w:val="005C7363"/>
    <w:rsid w:val="005D0EA3"/>
    <w:rsid w:val="005D39F8"/>
    <w:rsid w:val="005D4154"/>
    <w:rsid w:val="005D6D86"/>
    <w:rsid w:val="005E4E8B"/>
    <w:rsid w:val="005E4FBB"/>
    <w:rsid w:val="005F564B"/>
    <w:rsid w:val="005F6816"/>
    <w:rsid w:val="00601D1B"/>
    <w:rsid w:val="00602E4D"/>
    <w:rsid w:val="00603C03"/>
    <w:rsid w:val="006041F1"/>
    <w:rsid w:val="006043C0"/>
    <w:rsid w:val="00612DE2"/>
    <w:rsid w:val="00614A00"/>
    <w:rsid w:val="00616CA5"/>
    <w:rsid w:val="0062334A"/>
    <w:rsid w:val="00625929"/>
    <w:rsid w:val="006270B1"/>
    <w:rsid w:val="00631A5F"/>
    <w:rsid w:val="00631F81"/>
    <w:rsid w:val="00632B35"/>
    <w:rsid w:val="00634F2D"/>
    <w:rsid w:val="00640E6E"/>
    <w:rsid w:val="00643B50"/>
    <w:rsid w:val="0064450D"/>
    <w:rsid w:val="0064614C"/>
    <w:rsid w:val="0064630F"/>
    <w:rsid w:val="006463B4"/>
    <w:rsid w:val="00650206"/>
    <w:rsid w:val="00651CA9"/>
    <w:rsid w:val="00654A35"/>
    <w:rsid w:val="00655AC7"/>
    <w:rsid w:val="006561B4"/>
    <w:rsid w:val="00657735"/>
    <w:rsid w:val="006617F8"/>
    <w:rsid w:val="006627C0"/>
    <w:rsid w:val="00664255"/>
    <w:rsid w:val="00665331"/>
    <w:rsid w:val="0066610F"/>
    <w:rsid w:val="00674887"/>
    <w:rsid w:val="00675084"/>
    <w:rsid w:val="00677D3D"/>
    <w:rsid w:val="00681FDF"/>
    <w:rsid w:val="00682B45"/>
    <w:rsid w:val="006831EB"/>
    <w:rsid w:val="00683B69"/>
    <w:rsid w:val="00683BB6"/>
    <w:rsid w:val="00684965"/>
    <w:rsid w:val="00684DE7"/>
    <w:rsid w:val="00684F05"/>
    <w:rsid w:val="00685CB4"/>
    <w:rsid w:val="00686533"/>
    <w:rsid w:val="00690502"/>
    <w:rsid w:val="00692ED5"/>
    <w:rsid w:val="00693FFB"/>
    <w:rsid w:val="006A3590"/>
    <w:rsid w:val="006A49BF"/>
    <w:rsid w:val="006A4EC4"/>
    <w:rsid w:val="006A762A"/>
    <w:rsid w:val="006B51C3"/>
    <w:rsid w:val="006C289F"/>
    <w:rsid w:val="006C2D92"/>
    <w:rsid w:val="006C3CFB"/>
    <w:rsid w:val="006C5288"/>
    <w:rsid w:val="006C722C"/>
    <w:rsid w:val="006D0DAF"/>
    <w:rsid w:val="006D13A9"/>
    <w:rsid w:val="006D1BB4"/>
    <w:rsid w:val="006D61C9"/>
    <w:rsid w:val="006E0967"/>
    <w:rsid w:val="006E0D1C"/>
    <w:rsid w:val="006E1060"/>
    <w:rsid w:val="006E1BEC"/>
    <w:rsid w:val="006F64D1"/>
    <w:rsid w:val="006F6993"/>
    <w:rsid w:val="006F6E6B"/>
    <w:rsid w:val="00701FE0"/>
    <w:rsid w:val="00703111"/>
    <w:rsid w:val="00704EB7"/>
    <w:rsid w:val="00705B85"/>
    <w:rsid w:val="00713EF4"/>
    <w:rsid w:val="0071583A"/>
    <w:rsid w:val="007175D4"/>
    <w:rsid w:val="007235DD"/>
    <w:rsid w:val="007277BA"/>
    <w:rsid w:val="00730CC3"/>
    <w:rsid w:val="007326E3"/>
    <w:rsid w:val="00732B1F"/>
    <w:rsid w:val="00736630"/>
    <w:rsid w:val="00741138"/>
    <w:rsid w:val="00746670"/>
    <w:rsid w:val="00750D20"/>
    <w:rsid w:val="007530A1"/>
    <w:rsid w:val="00753CF3"/>
    <w:rsid w:val="007559A8"/>
    <w:rsid w:val="00760025"/>
    <w:rsid w:val="00761798"/>
    <w:rsid w:val="007650D6"/>
    <w:rsid w:val="007650FE"/>
    <w:rsid w:val="00770E88"/>
    <w:rsid w:val="00771E4D"/>
    <w:rsid w:val="0077495A"/>
    <w:rsid w:val="00774FD7"/>
    <w:rsid w:val="00780128"/>
    <w:rsid w:val="00783572"/>
    <w:rsid w:val="007839C3"/>
    <w:rsid w:val="007869B6"/>
    <w:rsid w:val="00791DD4"/>
    <w:rsid w:val="007952B4"/>
    <w:rsid w:val="00796159"/>
    <w:rsid w:val="007A6F5F"/>
    <w:rsid w:val="007A7872"/>
    <w:rsid w:val="007A7B0A"/>
    <w:rsid w:val="007B1041"/>
    <w:rsid w:val="007B28E3"/>
    <w:rsid w:val="007B399E"/>
    <w:rsid w:val="007B513C"/>
    <w:rsid w:val="007B711A"/>
    <w:rsid w:val="007C11D3"/>
    <w:rsid w:val="007C1EFC"/>
    <w:rsid w:val="007C2FBE"/>
    <w:rsid w:val="007C4EA7"/>
    <w:rsid w:val="007C657E"/>
    <w:rsid w:val="007C690C"/>
    <w:rsid w:val="007C741E"/>
    <w:rsid w:val="007D07D1"/>
    <w:rsid w:val="007D0AB3"/>
    <w:rsid w:val="007D36E5"/>
    <w:rsid w:val="007D3FFC"/>
    <w:rsid w:val="007D434A"/>
    <w:rsid w:val="007E43C9"/>
    <w:rsid w:val="007E4BD8"/>
    <w:rsid w:val="007E4E9F"/>
    <w:rsid w:val="007E595E"/>
    <w:rsid w:val="007E6B24"/>
    <w:rsid w:val="007E7751"/>
    <w:rsid w:val="007F1958"/>
    <w:rsid w:val="007F52CD"/>
    <w:rsid w:val="007F7C30"/>
    <w:rsid w:val="0080056F"/>
    <w:rsid w:val="008020FD"/>
    <w:rsid w:val="00802BFE"/>
    <w:rsid w:val="0080363B"/>
    <w:rsid w:val="008044AF"/>
    <w:rsid w:val="008162D8"/>
    <w:rsid w:val="00820834"/>
    <w:rsid w:val="00835F2B"/>
    <w:rsid w:val="00837E95"/>
    <w:rsid w:val="00842E7A"/>
    <w:rsid w:val="0084564E"/>
    <w:rsid w:val="00845DAB"/>
    <w:rsid w:val="00853E27"/>
    <w:rsid w:val="008603AE"/>
    <w:rsid w:val="008611A5"/>
    <w:rsid w:val="00862EB6"/>
    <w:rsid w:val="00862F8F"/>
    <w:rsid w:val="0086370D"/>
    <w:rsid w:val="008639ED"/>
    <w:rsid w:val="00864CB5"/>
    <w:rsid w:val="00872D89"/>
    <w:rsid w:val="00873345"/>
    <w:rsid w:val="00873DE8"/>
    <w:rsid w:val="0087519D"/>
    <w:rsid w:val="00876911"/>
    <w:rsid w:val="00876F26"/>
    <w:rsid w:val="00877020"/>
    <w:rsid w:val="008804AC"/>
    <w:rsid w:val="008850C3"/>
    <w:rsid w:val="00890ED5"/>
    <w:rsid w:val="0089119D"/>
    <w:rsid w:val="0089467C"/>
    <w:rsid w:val="0089666E"/>
    <w:rsid w:val="00896912"/>
    <w:rsid w:val="008A0800"/>
    <w:rsid w:val="008A2BEE"/>
    <w:rsid w:val="008A2F5B"/>
    <w:rsid w:val="008A36FF"/>
    <w:rsid w:val="008A5CCE"/>
    <w:rsid w:val="008A746F"/>
    <w:rsid w:val="008B0EA9"/>
    <w:rsid w:val="008B4699"/>
    <w:rsid w:val="008B4E95"/>
    <w:rsid w:val="008B59B6"/>
    <w:rsid w:val="008C5B17"/>
    <w:rsid w:val="008C60E9"/>
    <w:rsid w:val="008C6AD8"/>
    <w:rsid w:val="008D1779"/>
    <w:rsid w:val="008D3FF7"/>
    <w:rsid w:val="008D5688"/>
    <w:rsid w:val="008D5E2A"/>
    <w:rsid w:val="008E0624"/>
    <w:rsid w:val="008E1021"/>
    <w:rsid w:val="008E5F09"/>
    <w:rsid w:val="008E6103"/>
    <w:rsid w:val="008E78A6"/>
    <w:rsid w:val="008E7E49"/>
    <w:rsid w:val="008F185C"/>
    <w:rsid w:val="008F2D49"/>
    <w:rsid w:val="008F4B4C"/>
    <w:rsid w:val="00901F47"/>
    <w:rsid w:val="00904E91"/>
    <w:rsid w:val="00911FA1"/>
    <w:rsid w:val="00916F7B"/>
    <w:rsid w:val="009235C1"/>
    <w:rsid w:val="009242CF"/>
    <w:rsid w:val="009275ED"/>
    <w:rsid w:val="00931791"/>
    <w:rsid w:val="009320AB"/>
    <w:rsid w:val="00934685"/>
    <w:rsid w:val="0093502A"/>
    <w:rsid w:val="009368A2"/>
    <w:rsid w:val="00936FEF"/>
    <w:rsid w:val="00940EB7"/>
    <w:rsid w:val="0094142B"/>
    <w:rsid w:val="00943551"/>
    <w:rsid w:val="00943D27"/>
    <w:rsid w:val="009527FE"/>
    <w:rsid w:val="0095408D"/>
    <w:rsid w:val="00957AA5"/>
    <w:rsid w:val="00960DE5"/>
    <w:rsid w:val="00962F38"/>
    <w:rsid w:val="00965FEA"/>
    <w:rsid w:val="00966A11"/>
    <w:rsid w:val="00967C39"/>
    <w:rsid w:val="00971581"/>
    <w:rsid w:val="00974E0B"/>
    <w:rsid w:val="009812B0"/>
    <w:rsid w:val="00982EB3"/>
    <w:rsid w:val="009865FC"/>
    <w:rsid w:val="00986B04"/>
    <w:rsid w:val="00986CD9"/>
    <w:rsid w:val="00986D7F"/>
    <w:rsid w:val="009871D6"/>
    <w:rsid w:val="009934CF"/>
    <w:rsid w:val="00996A57"/>
    <w:rsid w:val="009A240A"/>
    <w:rsid w:val="009A33FE"/>
    <w:rsid w:val="009A39E7"/>
    <w:rsid w:val="009A47A3"/>
    <w:rsid w:val="009A603A"/>
    <w:rsid w:val="009B0ADB"/>
    <w:rsid w:val="009B3FB5"/>
    <w:rsid w:val="009B4415"/>
    <w:rsid w:val="009B5B20"/>
    <w:rsid w:val="009B7744"/>
    <w:rsid w:val="009C0735"/>
    <w:rsid w:val="009C12C1"/>
    <w:rsid w:val="009C3072"/>
    <w:rsid w:val="009D3BBE"/>
    <w:rsid w:val="009D41CC"/>
    <w:rsid w:val="009D45B7"/>
    <w:rsid w:val="009D5CCB"/>
    <w:rsid w:val="009E44EC"/>
    <w:rsid w:val="009E7433"/>
    <w:rsid w:val="009F15B9"/>
    <w:rsid w:val="009F2205"/>
    <w:rsid w:val="009F3854"/>
    <w:rsid w:val="009F4325"/>
    <w:rsid w:val="009F75EF"/>
    <w:rsid w:val="009F7639"/>
    <w:rsid w:val="00A009E5"/>
    <w:rsid w:val="00A02710"/>
    <w:rsid w:val="00A04A14"/>
    <w:rsid w:val="00A058DD"/>
    <w:rsid w:val="00A11F7D"/>
    <w:rsid w:val="00A12A6E"/>
    <w:rsid w:val="00A1307C"/>
    <w:rsid w:val="00A17072"/>
    <w:rsid w:val="00A20C8C"/>
    <w:rsid w:val="00A25EE4"/>
    <w:rsid w:val="00A26A10"/>
    <w:rsid w:val="00A30CE0"/>
    <w:rsid w:val="00A32BB0"/>
    <w:rsid w:val="00A40430"/>
    <w:rsid w:val="00A41B77"/>
    <w:rsid w:val="00A42D37"/>
    <w:rsid w:val="00A47272"/>
    <w:rsid w:val="00A50DB0"/>
    <w:rsid w:val="00A536B4"/>
    <w:rsid w:val="00A54790"/>
    <w:rsid w:val="00A5498B"/>
    <w:rsid w:val="00A608A5"/>
    <w:rsid w:val="00A62D77"/>
    <w:rsid w:val="00A636D9"/>
    <w:rsid w:val="00A6401D"/>
    <w:rsid w:val="00A643F1"/>
    <w:rsid w:val="00A64C2F"/>
    <w:rsid w:val="00A6721E"/>
    <w:rsid w:val="00A67BF8"/>
    <w:rsid w:val="00A721EE"/>
    <w:rsid w:val="00A72DF5"/>
    <w:rsid w:val="00A74D11"/>
    <w:rsid w:val="00A751E7"/>
    <w:rsid w:val="00A76B1D"/>
    <w:rsid w:val="00A81C73"/>
    <w:rsid w:val="00A910EC"/>
    <w:rsid w:val="00A972AD"/>
    <w:rsid w:val="00A97622"/>
    <w:rsid w:val="00AA213E"/>
    <w:rsid w:val="00AA38F2"/>
    <w:rsid w:val="00AA6007"/>
    <w:rsid w:val="00AB20F5"/>
    <w:rsid w:val="00AB26D1"/>
    <w:rsid w:val="00AB3844"/>
    <w:rsid w:val="00AB5393"/>
    <w:rsid w:val="00AB7728"/>
    <w:rsid w:val="00AC2677"/>
    <w:rsid w:val="00AC54F0"/>
    <w:rsid w:val="00AC618B"/>
    <w:rsid w:val="00AC7A9E"/>
    <w:rsid w:val="00AD1650"/>
    <w:rsid w:val="00AD232F"/>
    <w:rsid w:val="00AD4046"/>
    <w:rsid w:val="00AD45AA"/>
    <w:rsid w:val="00AD47A9"/>
    <w:rsid w:val="00AD5F58"/>
    <w:rsid w:val="00AD6AFA"/>
    <w:rsid w:val="00AE091B"/>
    <w:rsid w:val="00AE22ED"/>
    <w:rsid w:val="00AE265C"/>
    <w:rsid w:val="00AF111E"/>
    <w:rsid w:val="00AF17BC"/>
    <w:rsid w:val="00AF2C82"/>
    <w:rsid w:val="00AF4808"/>
    <w:rsid w:val="00AF740F"/>
    <w:rsid w:val="00B00D7A"/>
    <w:rsid w:val="00B045D7"/>
    <w:rsid w:val="00B05858"/>
    <w:rsid w:val="00B075FC"/>
    <w:rsid w:val="00B10FAA"/>
    <w:rsid w:val="00B15DC6"/>
    <w:rsid w:val="00B163B5"/>
    <w:rsid w:val="00B16F5B"/>
    <w:rsid w:val="00B172A2"/>
    <w:rsid w:val="00B1777D"/>
    <w:rsid w:val="00B17DDB"/>
    <w:rsid w:val="00B20E5D"/>
    <w:rsid w:val="00B224B3"/>
    <w:rsid w:val="00B22E1E"/>
    <w:rsid w:val="00B22EE7"/>
    <w:rsid w:val="00B2339A"/>
    <w:rsid w:val="00B2460A"/>
    <w:rsid w:val="00B24D0F"/>
    <w:rsid w:val="00B25A82"/>
    <w:rsid w:val="00B27AE7"/>
    <w:rsid w:val="00B31025"/>
    <w:rsid w:val="00B337C9"/>
    <w:rsid w:val="00B353C6"/>
    <w:rsid w:val="00B3542E"/>
    <w:rsid w:val="00B35D79"/>
    <w:rsid w:val="00B4269B"/>
    <w:rsid w:val="00B4413C"/>
    <w:rsid w:val="00B44C97"/>
    <w:rsid w:val="00B45FE6"/>
    <w:rsid w:val="00B46AD9"/>
    <w:rsid w:val="00B506CA"/>
    <w:rsid w:val="00B5079B"/>
    <w:rsid w:val="00B533B3"/>
    <w:rsid w:val="00B53981"/>
    <w:rsid w:val="00B53D92"/>
    <w:rsid w:val="00B60666"/>
    <w:rsid w:val="00B629E9"/>
    <w:rsid w:val="00B7142C"/>
    <w:rsid w:val="00B72BEB"/>
    <w:rsid w:val="00B74D98"/>
    <w:rsid w:val="00B75EA9"/>
    <w:rsid w:val="00B861E7"/>
    <w:rsid w:val="00B8708A"/>
    <w:rsid w:val="00B91988"/>
    <w:rsid w:val="00B92FD9"/>
    <w:rsid w:val="00B947EC"/>
    <w:rsid w:val="00B951D0"/>
    <w:rsid w:val="00B95219"/>
    <w:rsid w:val="00BA02C9"/>
    <w:rsid w:val="00BA1934"/>
    <w:rsid w:val="00BA2487"/>
    <w:rsid w:val="00BA25E8"/>
    <w:rsid w:val="00BA3ABA"/>
    <w:rsid w:val="00BA5CC5"/>
    <w:rsid w:val="00BA6040"/>
    <w:rsid w:val="00BA6CB0"/>
    <w:rsid w:val="00BB31FA"/>
    <w:rsid w:val="00BB564E"/>
    <w:rsid w:val="00BC0038"/>
    <w:rsid w:val="00BC6083"/>
    <w:rsid w:val="00BC71EC"/>
    <w:rsid w:val="00BC770F"/>
    <w:rsid w:val="00BD28BE"/>
    <w:rsid w:val="00BD2E72"/>
    <w:rsid w:val="00BD35D8"/>
    <w:rsid w:val="00BD3B2F"/>
    <w:rsid w:val="00BD66FA"/>
    <w:rsid w:val="00BE003C"/>
    <w:rsid w:val="00BE1686"/>
    <w:rsid w:val="00BE2434"/>
    <w:rsid w:val="00BE3256"/>
    <w:rsid w:val="00BE3A61"/>
    <w:rsid w:val="00BE486D"/>
    <w:rsid w:val="00BE4B68"/>
    <w:rsid w:val="00BE5523"/>
    <w:rsid w:val="00BE58BA"/>
    <w:rsid w:val="00BE592D"/>
    <w:rsid w:val="00BE71FE"/>
    <w:rsid w:val="00BF2B7C"/>
    <w:rsid w:val="00BF33F6"/>
    <w:rsid w:val="00BF33FA"/>
    <w:rsid w:val="00BF343F"/>
    <w:rsid w:val="00BF70BB"/>
    <w:rsid w:val="00C0016B"/>
    <w:rsid w:val="00C0041F"/>
    <w:rsid w:val="00C03309"/>
    <w:rsid w:val="00C033F2"/>
    <w:rsid w:val="00C037B7"/>
    <w:rsid w:val="00C03FFA"/>
    <w:rsid w:val="00C069CC"/>
    <w:rsid w:val="00C14910"/>
    <w:rsid w:val="00C1542B"/>
    <w:rsid w:val="00C17C2E"/>
    <w:rsid w:val="00C17E4E"/>
    <w:rsid w:val="00C23EA5"/>
    <w:rsid w:val="00C2443F"/>
    <w:rsid w:val="00C24565"/>
    <w:rsid w:val="00C264CB"/>
    <w:rsid w:val="00C31114"/>
    <w:rsid w:val="00C31AE5"/>
    <w:rsid w:val="00C325B0"/>
    <w:rsid w:val="00C3402A"/>
    <w:rsid w:val="00C34202"/>
    <w:rsid w:val="00C35CA3"/>
    <w:rsid w:val="00C35D76"/>
    <w:rsid w:val="00C414B0"/>
    <w:rsid w:val="00C4168B"/>
    <w:rsid w:val="00C4205E"/>
    <w:rsid w:val="00C427C6"/>
    <w:rsid w:val="00C46A4D"/>
    <w:rsid w:val="00C6378C"/>
    <w:rsid w:val="00C67444"/>
    <w:rsid w:val="00C70DD4"/>
    <w:rsid w:val="00C72CB5"/>
    <w:rsid w:val="00C732B1"/>
    <w:rsid w:val="00C75430"/>
    <w:rsid w:val="00C75B77"/>
    <w:rsid w:val="00C77205"/>
    <w:rsid w:val="00C77660"/>
    <w:rsid w:val="00C802F0"/>
    <w:rsid w:val="00C815B1"/>
    <w:rsid w:val="00C81BB8"/>
    <w:rsid w:val="00C83D4C"/>
    <w:rsid w:val="00C86C69"/>
    <w:rsid w:val="00C879DC"/>
    <w:rsid w:val="00C957F6"/>
    <w:rsid w:val="00C97BA7"/>
    <w:rsid w:val="00CA40FD"/>
    <w:rsid w:val="00CA77FD"/>
    <w:rsid w:val="00CB0D3B"/>
    <w:rsid w:val="00CB39DE"/>
    <w:rsid w:val="00CC58B2"/>
    <w:rsid w:val="00CD2BD0"/>
    <w:rsid w:val="00CD4001"/>
    <w:rsid w:val="00CD643D"/>
    <w:rsid w:val="00CD7147"/>
    <w:rsid w:val="00CD7AEF"/>
    <w:rsid w:val="00CE0842"/>
    <w:rsid w:val="00CE2240"/>
    <w:rsid w:val="00CE2D0C"/>
    <w:rsid w:val="00CE3BE9"/>
    <w:rsid w:val="00CE4FF9"/>
    <w:rsid w:val="00CE5825"/>
    <w:rsid w:val="00CF0483"/>
    <w:rsid w:val="00CF23C3"/>
    <w:rsid w:val="00D00FF0"/>
    <w:rsid w:val="00D01D60"/>
    <w:rsid w:val="00D0445F"/>
    <w:rsid w:val="00D05574"/>
    <w:rsid w:val="00D06705"/>
    <w:rsid w:val="00D1058C"/>
    <w:rsid w:val="00D11D1B"/>
    <w:rsid w:val="00D11EF9"/>
    <w:rsid w:val="00D1420B"/>
    <w:rsid w:val="00D14834"/>
    <w:rsid w:val="00D14FA4"/>
    <w:rsid w:val="00D15641"/>
    <w:rsid w:val="00D15F6F"/>
    <w:rsid w:val="00D16278"/>
    <w:rsid w:val="00D17457"/>
    <w:rsid w:val="00D20FC9"/>
    <w:rsid w:val="00D227B0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36BBD"/>
    <w:rsid w:val="00D36C85"/>
    <w:rsid w:val="00D4218E"/>
    <w:rsid w:val="00D43455"/>
    <w:rsid w:val="00D434BA"/>
    <w:rsid w:val="00D43D34"/>
    <w:rsid w:val="00D44CB6"/>
    <w:rsid w:val="00D466B3"/>
    <w:rsid w:val="00D47F10"/>
    <w:rsid w:val="00D513A5"/>
    <w:rsid w:val="00D53715"/>
    <w:rsid w:val="00D55D20"/>
    <w:rsid w:val="00D56334"/>
    <w:rsid w:val="00D613B6"/>
    <w:rsid w:val="00D61B0F"/>
    <w:rsid w:val="00D64748"/>
    <w:rsid w:val="00D676E8"/>
    <w:rsid w:val="00D70930"/>
    <w:rsid w:val="00D73793"/>
    <w:rsid w:val="00D76571"/>
    <w:rsid w:val="00D8235D"/>
    <w:rsid w:val="00D840E9"/>
    <w:rsid w:val="00D85E4D"/>
    <w:rsid w:val="00D86690"/>
    <w:rsid w:val="00D8677B"/>
    <w:rsid w:val="00D86A42"/>
    <w:rsid w:val="00D87A77"/>
    <w:rsid w:val="00D92B4F"/>
    <w:rsid w:val="00D9315C"/>
    <w:rsid w:val="00D93D82"/>
    <w:rsid w:val="00D9439E"/>
    <w:rsid w:val="00D95245"/>
    <w:rsid w:val="00D96A65"/>
    <w:rsid w:val="00DA0F08"/>
    <w:rsid w:val="00DA0FFE"/>
    <w:rsid w:val="00DA1CE1"/>
    <w:rsid w:val="00DA3B58"/>
    <w:rsid w:val="00DB0B52"/>
    <w:rsid w:val="00DB1EFC"/>
    <w:rsid w:val="00DB4B4D"/>
    <w:rsid w:val="00DB5AC3"/>
    <w:rsid w:val="00DB5E00"/>
    <w:rsid w:val="00DB64BD"/>
    <w:rsid w:val="00DC4668"/>
    <w:rsid w:val="00DC6C6C"/>
    <w:rsid w:val="00DC710D"/>
    <w:rsid w:val="00DD209F"/>
    <w:rsid w:val="00DD2F46"/>
    <w:rsid w:val="00DD5E89"/>
    <w:rsid w:val="00DE2F19"/>
    <w:rsid w:val="00DE4288"/>
    <w:rsid w:val="00DE6726"/>
    <w:rsid w:val="00DF2AF5"/>
    <w:rsid w:val="00DF468F"/>
    <w:rsid w:val="00DF505E"/>
    <w:rsid w:val="00E03D00"/>
    <w:rsid w:val="00E0556A"/>
    <w:rsid w:val="00E055B9"/>
    <w:rsid w:val="00E05821"/>
    <w:rsid w:val="00E06B7E"/>
    <w:rsid w:val="00E102BA"/>
    <w:rsid w:val="00E11F4A"/>
    <w:rsid w:val="00E13C86"/>
    <w:rsid w:val="00E1549B"/>
    <w:rsid w:val="00E2098C"/>
    <w:rsid w:val="00E21861"/>
    <w:rsid w:val="00E22435"/>
    <w:rsid w:val="00E244BE"/>
    <w:rsid w:val="00E2494D"/>
    <w:rsid w:val="00E2519D"/>
    <w:rsid w:val="00E2563B"/>
    <w:rsid w:val="00E30399"/>
    <w:rsid w:val="00E31CF4"/>
    <w:rsid w:val="00E31E37"/>
    <w:rsid w:val="00E3235D"/>
    <w:rsid w:val="00E350BF"/>
    <w:rsid w:val="00E35A44"/>
    <w:rsid w:val="00E37598"/>
    <w:rsid w:val="00E41DD9"/>
    <w:rsid w:val="00E4333B"/>
    <w:rsid w:val="00E4388F"/>
    <w:rsid w:val="00E45A5F"/>
    <w:rsid w:val="00E52340"/>
    <w:rsid w:val="00E53611"/>
    <w:rsid w:val="00E53E06"/>
    <w:rsid w:val="00E5412E"/>
    <w:rsid w:val="00E54506"/>
    <w:rsid w:val="00E54816"/>
    <w:rsid w:val="00E5669B"/>
    <w:rsid w:val="00E56DA8"/>
    <w:rsid w:val="00E60C7F"/>
    <w:rsid w:val="00E60F1C"/>
    <w:rsid w:val="00E64646"/>
    <w:rsid w:val="00E668CB"/>
    <w:rsid w:val="00E66A5E"/>
    <w:rsid w:val="00E70206"/>
    <w:rsid w:val="00E71AA4"/>
    <w:rsid w:val="00E72FAC"/>
    <w:rsid w:val="00E7557A"/>
    <w:rsid w:val="00E76417"/>
    <w:rsid w:val="00E80077"/>
    <w:rsid w:val="00E80544"/>
    <w:rsid w:val="00E82A1D"/>
    <w:rsid w:val="00E83075"/>
    <w:rsid w:val="00E84AA6"/>
    <w:rsid w:val="00E85096"/>
    <w:rsid w:val="00E9196C"/>
    <w:rsid w:val="00E92F6C"/>
    <w:rsid w:val="00E951A7"/>
    <w:rsid w:val="00E96EBB"/>
    <w:rsid w:val="00EA0AB1"/>
    <w:rsid w:val="00EA5DA0"/>
    <w:rsid w:val="00EB3504"/>
    <w:rsid w:val="00EB4A6E"/>
    <w:rsid w:val="00EB4D20"/>
    <w:rsid w:val="00EB4F24"/>
    <w:rsid w:val="00EB54C4"/>
    <w:rsid w:val="00EB59CD"/>
    <w:rsid w:val="00EB7B26"/>
    <w:rsid w:val="00EC1F7B"/>
    <w:rsid w:val="00EC4224"/>
    <w:rsid w:val="00ED0EA9"/>
    <w:rsid w:val="00ED6AF3"/>
    <w:rsid w:val="00ED6D03"/>
    <w:rsid w:val="00EE10DC"/>
    <w:rsid w:val="00EE14C6"/>
    <w:rsid w:val="00EE1651"/>
    <w:rsid w:val="00EE1B26"/>
    <w:rsid w:val="00EE21FB"/>
    <w:rsid w:val="00EE2ADE"/>
    <w:rsid w:val="00EE56BE"/>
    <w:rsid w:val="00EF5331"/>
    <w:rsid w:val="00EF67EB"/>
    <w:rsid w:val="00F021B5"/>
    <w:rsid w:val="00F034C7"/>
    <w:rsid w:val="00F03F08"/>
    <w:rsid w:val="00F06AF7"/>
    <w:rsid w:val="00F10920"/>
    <w:rsid w:val="00F1163C"/>
    <w:rsid w:val="00F12236"/>
    <w:rsid w:val="00F1263A"/>
    <w:rsid w:val="00F14909"/>
    <w:rsid w:val="00F166BD"/>
    <w:rsid w:val="00F16AD1"/>
    <w:rsid w:val="00F16C03"/>
    <w:rsid w:val="00F209F4"/>
    <w:rsid w:val="00F230BE"/>
    <w:rsid w:val="00F31C8E"/>
    <w:rsid w:val="00F340F3"/>
    <w:rsid w:val="00F36B66"/>
    <w:rsid w:val="00F405F7"/>
    <w:rsid w:val="00F42E08"/>
    <w:rsid w:val="00F454D3"/>
    <w:rsid w:val="00F53E37"/>
    <w:rsid w:val="00F54189"/>
    <w:rsid w:val="00F60825"/>
    <w:rsid w:val="00F6606F"/>
    <w:rsid w:val="00F66CA1"/>
    <w:rsid w:val="00F72CF9"/>
    <w:rsid w:val="00F74E47"/>
    <w:rsid w:val="00F7796C"/>
    <w:rsid w:val="00F77CE0"/>
    <w:rsid w:val="00F822BB"/>
    <w:rsid w:val="00F85273"/>
    <w:rsid w:val="00F86DC1"/>
    <w:rsid w:val="00F9073E"/>
    <w:rsid w:val="00F95D17"/>
    <w:rsid w:val="00FA030A"/>
    <w:rsid w:val="00FA0D52"/>
    <w:rsid w:val="00FA14D8"/>
    <w:rsid w:val="00FA321B"/>
    <w:rsid w:val="00FA37A7"/>
    <w:rsid w:val="00FB0069"/>
    <w:rsid w:val="00FB1F54"/>
    <w:rsid w:val="00FB2959"/>
    <w:rsid w:val="00FB3E97"/>
    <w:rsid w:val="00FB518D"/>
    <w:rsid w:val="00FB6159"/>
    <w:rsid w:val="00FC3C33"/>
    <w:rsid w:val="00FC60AC"/>
    <w:rsid w:val="00FC6834"/>
    <w:rsid w:val="00FC7676"/>
    <w:rsid w:val="00FD019F"/>
    <w:rsid w:val="00FD0B29"/>
    <w:rsid w:val="00FD0E5E"/>
    <w:rsid w:val="00FD1465"/>
    <w:rsid w:val="00FD2556"/>
    <w:rsid w:val="00FD32BD"/>
    <w:rsid w:val="00FD52FD"/>
    <w:rsid w:val="00FE082F"/>
    <w:rsid w:val="00FE0B85"/>
    <w:rsid w:val="00FE37C6"/>
    <w:rsid w:val="00FE4C41"/>
    <w:rsid w:val="00FE4C60"/>
    <w:rsid w:val="00FE5EE7"/>
    <w:rsid w:val="00FE6F53"/>
    <w:rsid w:val="00FE7ABB"/>
    <w:rsid w:val="00FE7AE4"/>
    <w:rsid w:val="00FF145C"/>
    <w:rsid w:val="00FF3141"/>
    <w:rsid w:val="00FF4F4B"/>
    <w:rsid w:val="00FF726D"/>
    <w:rsid w:val="00FF756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446B331-276E-F345-96AE-5818E9D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4A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152CAB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character" w:customStyle="1" w:styleId="UnresolvedMention2">
    <w:name w:val="Unresolved Mention2"/>
    <w:basedOn w:val="DefaultParagraphFont"/>
    <w:rsid w:val="009F22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51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95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5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51D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51D0"/>
    <w:rPr>
      <w:b/>
      <w:bCs/>
      <w:lang w:val="en-GB"/>
    </w:rPr>
  </w:style>
  <w:style w:type="paragraph" w:styleId="Revision">
    <w:name w:val="Revision"/>
    <w:hidden/>
    <w:uiPriority w:val="99"/>
    <w:semiHidden/>
    <w:rsid w:val="00D96A65"/>
    <w:rPr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53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5/03/enhanced-service-specification-weight-management-2025-26.pdf" TargetMode="External"/><Relationship Id="rId13" Type="http://schemas.openxmlformats.org/officeDocument/2006/relationships/hyperlink" Target="https://www.sportengland.org/funds-and-campaigns/moving-healthcare-professionals" TargetMode="External"/><Relationship Id="rId18" Type="http://schemas.openxmlformats.org/officeDocument/2006/relationships/hyperlink" Target="https://www.england.nhs.uk/digital-weight-management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england.nhs.uk/diabetes/diabetes-preven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weight-management-guidance-for-commissioners-and-providers" TargetMode="External"/><Relationship Id="rId17" Type="http://schemas.openxmlformats.org/officeDocument/2006/relationships/hyperlink" Target="https://www.phc.ox.ac.uk/supportive-and-effective-conversations-about-weight-management-referral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adult-weight-management-a-guide-to-brief-interventions" TargetMode="External"/><Relationship Id="rId20" Type="http://schemas.openxmlformats.org/officeDocument/2006/relationships/hyperlink" Target="https://digital.nhs.uk/data-and-information/clinical-audits-and-registries/national-obesity-audit/national-obesity-audit-guidance/tier-2-behavioural-weight-management-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lfh.org.uk/programmes/making-every-contact-count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qs21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england.nhs.uk/wp-content/uploads/2025/03/enhanced-service-specification-weight-management-2025-26.pdf" TargetMode="External"/><Relationship Id="rId19" Type="http://schemas.openxmlformats.org/officeDocument/2006/relationships/hyperlink" Target="https://www.england.nhs.uk/wp-content/uploads/2021/06/NHS-Digital-Weight-Management-Programme-Healthcare-Professional-Toolki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0/15/contents" TargetMode="External"/><Relationship Id="rId14" Type="http://schemas.openxmlformats.org/officeDocument/2006/relationships/hyperlink" Target="https://www.nice.org.uk/guidance/ng246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B2D7-633A-42BD-B3FF-44D0FC2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7389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2025-08-13T13:08:00Z</dcterms:created>
  <dcterms:modified xsi:type="dcterms:W3CDTF">2025-08-13T13:08:00Z</dcterms:modified>
</cp:coreProperties>
</file>