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58F" w14:textId="4BB2873E" w:rsidR="00E85096" w:rsidRPr="008C4C49" w:rsidRDefault="0022000E" w:rsidP="003E2BAC">
      <w:pPr>
        <w:spacing w:before="240"/>
        <w:jc w:val="center"/>
        <w:rPr>
          <w:rFonts w:ascii="Arial" w:hAnsi="Arial" w:cs="Arial"/>
          <w:b/>
          <w:sz w:val="48"/>
          <w:szCs w:val="48"/>
        </w:rPr>
      </w:pPr>
      <w:r>
        <w:rPr>
          <w:rFonts w:ascii="Arial" w:hAnsi="Arial" w:cs="Arial"/>
          <w:b/>
          <w:sz w:val="48"/>
          <w:szCs w:val="48"/>
        </w:rPr>
        <w:t>Sepsis Guidance Document</w:t>
      </w:r>
    </w:p>
    <w:p w14:paraId="172E9C97" w14:textId="77777777" w:rsidR="003E2BAC" w:rsidRPr="008C4C49" w:rsidRDefault="003E2BAC" w:rsidP="0097074D">
      <w:pPr>
        <w:jc w:val="center"/>
        <w:rPr>
          <w:rFonts w:ascii="Arial" w:hAnsi="Arial" w:cs="Arial"/>
          <w:b/>
          <w:sz w:val="22"/>
          <w:szCs w:val="22"/>
        </w:rPr>
      </w:pPr>
    </w:p>
    <w:tbl>
      <w:tblPr>
        <w:tblW w:w="10860" w:type="dxa"/>
        <w:jc w:val="center"/>
        <w:tblLayout w:type="fixed"/>
        <w:tblLook w:val="01E0" w:firstRow="1" w:lastRow="1" w:firstColumn="1" w:lastColumn="1" w:noHBand="0" w:noVBand="0"/>
      </w:tblPr>
      <w:tblGrid>
        <w:gridCol w:w="1240"/>
        <w:gridCol w:w="2008"/>
        <w:gridCol w:w="2230"/>
        <w:gridCol w:w="2104"/>
        <w:gridCol w:w="3278"/>
      </w:tblGrid>
      <w:tr w:rsidR="0020113D" w14:paraId="40C599C0"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C31FDAD" w14:textId="77777777" w:rsidR="0020113D" w:rsidRDefault="0020113D">
            <w:pPr>
              <w:widowControl w:val="0"/>
              <w:jc w:val="center"/>
              <w:rPr>
                <w:rFonts w:ascii="Arial" w:eastAsia="Arial" w:hAnsi="Arial" w:cs="Arial"/>
                <w:b/>
                <w:spacing w:val="-2"/>
                <w:sz w:val="26"/>
                <w:szCs w:val="26"/>
                <w:lang w:val="en-US" w:eastAsia="en-US"/>
              </w:rPr>
            </w:pPr>
            <w:r>
              <w:rPr>
                <w:rFonts w:ascii="Arial" w:eastAsia="Arial" w:hAnsi="Arial" w:cs="Arial"/>
                <w:b/>
                <w:spacing w:val="-2"/>
                <w:sz w:val="26"/>
                <w:szCs w:val="26"/>
                <w:lang w:val="en-US" w:eastAsia="en-US"/>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4DDB024" w14:textId="77777777" w:rsidR="0020113D" w:rsidRDefault="0020113D">
            <w:pPr>
              <w:widowControl w:val="0"/>
              <w:jc w:val="center"/>
              <w:rPr>
                <w:rFonts w:ascii="Arial" w:eastAsia="Arial" w:hAnsi="Arial" w:cs="Arial"/>
                <w:b/>
                <w:spacing w:val="-2"/>
                <w:sz w:val="26"/>
                <w:szCs w:val="26"/>
                <w:lang w:val="en-US" w:eastAsia="en-US"/>
              </w:rPr>
            </w:pPr>
            <w:r>
              <w:rPr>
                <w:rFonts w:ascii="Arial" w:eastAsia="Arial" w:hAnsi="Arial" w:cs="Arial"/>
                <w:b/>
                <w:spacing w:val="-2"/>
                <w:sz w:val="26"/>
                <w:szCs w:val="26"/>
                <w:lang w:val="en-US" w:eastAsia="en-US"/>
              </w:rPr>
              <w:t>Review date:</w:t>
            </w:r>
          </w:p>
        </w:tc>
        <w:tc>
          <w:tcPr>
            <w:tcW w:w="22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7BB03D5" w14:textId="77777777" w:rsidR="0020113D" w:rsidRDefault="0020113D">
            <w:pPr>
              <w:widowControl w:val="0"/>
              <w:jc w:val="center"/>
              <w:rPr>
                <w:rFonts w:ascii="Arial" w:eastAsia="Arial" w:hAnsi="Arial" w:cs="Arial"/>
                <w:b/>
                <w:spacing w:val="-2"/>
                <w:sz w:val="26"/>
                <w:szCs w:val="26"/>
                <w:lang w:val="en-US" w:eastAsia="en-US"/>
              </w:rPr>
            </w:pPr>
            <w:r>
              <w:rPr>
                <w:rFonts w:ascii="Arial" w:eastAsia="Arial" w:hAnsi="Arial" w:cs="Arial"/>
                <w:b/>
                <w:spacing w:val="-2"/>
                <w:sz w:val="26"/>
                <w:szCs w:val="26"/>
                <w:lang w:val="en-US" w:eastAsia="en-US"/>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8EE967" w14:textId="77777777" w:rsidR="0020113D" w:rsidRDefault="0020113D">
            <w:pPr>
              <w:widowControl w:val="0"/>
              <w:jc w:val="center"/>
              <w:rPr>
                <w:rFonts w:ascii="Arial" w:eastAsia="Arial" w:hAnsi="Arial" w:cs="Arial"/>
                <w:b/>
                <w:spacing w:val="-2"/>
                <w:sz w:val="26"/>
                <w:szCs w:val="26"/>
                <w:lang w:val="en-US" w:eastAsia="en-US"/>
              </w:rPr>
            </w:pPr>
            <w:r>
              <w:rPr>
                <w:rFonts w:ascii="Arial" w:eastAsia="Arial" w:hAnsi="Arial" w:cs="Arial"/>
                <w:b/>
                <w:spacing w:val="-2"/>
                <w:sz w:val="26"/>
                <w:szCs w:val="26"/>
                <w:lang w:val="en-US" w:eastAsia="en-US"/>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9D0B41" w14:textId="77777777" w:rsidR="0020113D" w:rsidRDefault="0020113D">
            <w:pPr>
              <w:widowControl w:val="0"/>
              <w:jc w:val="center"/>
              <w:rPr>
                <w:rFonts w:ascii="Arial" w:eastAsia="Arial" w:hAnsi="Arial" w:cs="Arial"/>
                <w:b/>
                <w:spacing w:val="-2"/>
                <w:sz w:val="26"/>
                <w:szCs w:val="26"/>
                <w:lang w:val="en-US" w:eastAsia="en-US"/>
              </w:rPr>
            </w:pPr>
            <w:r>
              <w:rPr>
                <w:rFonts w:ascii="Arial" w:eastAsia="Arial" w:hAnsi="Arial" w:cs="Arial"/>
                <w:b/>
                <w:spacing w:val="-2"/>
                <w:sz w:val="26"/>
                <w:szCs w:val="26"/>
                <w:lang w:val="en-US" w:eastAsia="en-US"/>
              </w:rPr>
              <w:t>Comments:</w:t>
            </w:r>
          </w:p>
        </w:tc>
      </w:tr>
      <w:tr w:rsidR="0020113D" w14:paraId="4E7E5092" w14:textId="77777777">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77A82C1E" w14:textId="4BC45377" w:rsidR="0020113D" w:rsidRDefault="0020113D">
            <w:pPr>
              <w:widowControl w:val="0"/>
              <w:jc w:val="center"/>
              <w:rPr>
                <w:rFonts w:eastAsia="Arial" w:cs="Arial"/>
                <w:spacing w:val="-2"/>
                <w:sz w:val="26"/>
                <w:szCs w:val="26"/>
                <w:lang w:val="en-US" w:eastAsia="en-US"/>
              </w:rPr>
            </w:pPr>
            <w:r>
              <w:rPr>
                <w:rFonts w:eastAsia="Arial" w:cs="Arial"/>
                <w:spacing w:val="-2"/>
                <w:sz w:val="26"/>
                <w:szCs w:val="26"/>
                <w:lang w:val="en-US" w:eastAsia="en-US"/>
              </w:rPr>
              <w:t>v1.</w:t>
            </w:r>
            <w:r>
              <w:rPr>
                <w:rFonts w:eastAsia="Arial" w:cs="Arial"/>
                <w:spacing w:val="-2"/>
                <w:sz w:val="26"/>
                <w:szCs w:val="26"/>
                <w:lang w:val="en-US" w:eastAsia="en-US"/>
              </w:rPr>
              <w:t>8</w:t>
            </w:r>
          </w:p>
        </w:tc>
        <w:tc>
          <w:tcPr>
            <w:tcW w:w="2008" w:type="dxa"/>
            <w:tcBorders>
              <w:top w:val="single" w:sz="4" w:space="0" w:color="333333"/>
              <w:left w:val="single" w:sz="4" w:space="0" w:color="333333"/>
              <w:bottom w:val="single" w:sz="4" w:space="0" w:color="333333"/>
              <w:right w:val="single" w:sz="4" w:space="0" w:color="333333"/>
            </w:tcBorders>
            <w:hideMark/>
          </w:tcPr>
          <w:p w14:paraId="09B18525" w14:textId="1FA01AE7" w:rsidR="0020113D" w:rsidRDefault="0020113D">
            <w:pPr>
              <w:widowControl w:val="0"/>
              <w:rPr>
                <w:rFonts w:eastAsia="Arial" w:cs="Arial"/>
                <w:spacing w:val="-2"/>
                <w:sz w:val="26"/>
                <w:szCs w:val="26"/>
                <w:lang w:val="en-US" w:eastAsia="en-US"/>
              </w:rPr>
            </w:pPr>
            <w:r>
              <w:rPr>
                <w:rFonts w:eastAsia="Arial" w:cs="Arial"/>
                <w:spacing w:val="-2"/>
                <w:sz w:val="26"/>
                <w:szCs w:val="26"/>
                <w:lang w:val="en-US" w:eastAsia="en-US"/>
              </w:rPr>
              <w:t>08/08/2025</w:t>
            </w:r>
          </w:p>
        </w:tc>
        <w:tc>
          <w:tcPr>
            <w:tcW w:w="2230" w:type="dxa"/>
            <w:tcBorders>
              <w:top w:val="single" w:sz="4" w:space="0" w:color="333333"/>
              <w:left w:val="single" w:sz="4" w:space="0" w:color="333333"/>
              <w:bottom w:val="single" w:sz="4" w:space="0" w:color="333333"/>
              <w:right w:val="single" w:sz="4" w:space="0" w:color="333333"/>
            </w:tcBorders>
            <w:hideMark/>
          </w:tcPr>
          <w:p w14:paraId="7A4D94DC" w14:textId="77777777" w:rsidR="0020113D" w:rsidRDefault="0020113D">
            <w:pPr>
              <w:widowControl w:val="0"/>
              <w:rPr>
                <w:rFonts w:eastAsia="Arial" w:cs="Arial"/>
                <w:spacing w:val="-2"/>
                <w:sz w:val="26"/>
                <w:szCs w:val="26"/>
                <w:lang w:val="en-US" w:eastAsia="en-US"/>
              </w:rPr>
            </w:pPr>
            <w:r>
              <w:rPr>
                <w:rFonts w:eastAsia="Arial" w:cs="Arial"/>
                <w:spacing w:val="-2"/>
                <w:sz w:val="26"/>
                <w:szCs w:val="26"/>
                <w:lang w:val="en-US" w:eastAsia="en-US"/>
              </w:rPr>
              <w:t>Sultan Mohamed</w:t>
            </w:r>
          </w:p>
        </w:tc>
        <w:tc>
          <w:tcPr>
            <w:tcW w:w="2104" w:type="dxa"/>
            <w:tcBorders>
              <w:top w:val="single" w:sz="4" w:space="0" w:color="333333"/>
              <w:left w:val="single" w:sz="4" w:space="0" w:color="333333"/>
              <w:bottom w:val="single" w:sz="4" w:space="0" w:color="333333"/>
              <w:right w:val="single" w:sz="4" w:space="0" w:color="333333"/>
            </w:tcBorders>
            <w:hideMark/>
          </w:tcPr>
          <w:p w14:paraId="0D54B383" w14:textId="77777777" w:rsidR="0020113D" w:rsidRDefault="0020113D">
            <w:pPr>
              <w:widowControl w:val="0"/>
              <w:rPr>
                <w:rFonts w:eastAsia="Arial" w:cs="Arial"/>
                <w:spacing w:val="-2"/>
                <w:sz w:val="26"/>
                <w:szCs w:val="26"/>
                <w:lang w:val="en-US" w:eastAsia="en-US"/>
              </w:rPr>
            </w:pPr>
            <w:r>
              <w:rPr>
                <w:rFonts w:eastAsia="Arial" w:cs="Arial"/>
                <w:spacing w:val="-2"/>
                <w:sz w:val="26"/>
                <w:szCs w:val="26"/>
                <w:lang w:val="en-US" w:eastAsia="en-US"/>
              </w:rPr>
              <w:t>Munira Mohamed</w:t>
            </w:r>
          </w:p>
        </w:tc>
        <w:tc>
          <w:tcPr>
            <w:tcW w:w="3278" w:type="dxa"/>
            <w:tcBorders>
              <w:top w:val="single" w:sz="4" w:space="0" w:color="333333"/>
              <w:left w:val="single" w:sz="4" w:space="0" w:color="333333"/>
              <w:bottom w:val="single" w:sz="4" w:space="0" w:color="333333"/>
              <w:right w:val="single" w:sz="4" w:space="0" w:color="333333"/>
            </w:tcBorders>
            <w:hideMark/>
          </w:tcPr>
          <w:p w14:paraId="0577582C" w14:textId="77777777" w:rsidR="0020113D" w:rsidRDefault="0020113D">
            <w:pPr>
              <w:widowControl w:val="0"/>
              <w:rPr>
                <w:sz w:val="26"/>
                <w:szCs w:val="26"/>
                <w:lang w:val="en-US" w:eastAsia="en-US"/>
              </w:rPr>
            </w:pPr>
            <w:r>
              <w:rPr>
                <w:sz w:val="26"/>
                <w:szCs w:val="26"/>
                <w:lang w:val="en-US" w:eastAsia="en-US"/>
              </w:rPr>
              <w:t>This document replaces the policy on Sepsis, now retired</w:t>
            </w:r>
          </w:p>
        </w:tc>
      </w:tr>
      <w:tr w:rsidR="0020113D" w14:paraId="2474D9CD"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5EE5E0E8" w14:textId="77777777" w:rsidR="0020113D" w:rsidRDefault="0020113D">
            <w:pPr>
              <w:widowControl w:val="0"/>
              <w:rPr>
                <w:sz w:val="26"/>
                <w:szCs w:val="26"/>
                <w:lang w:val="en-US" w:eastAsia="en-US"/>
              </w:rPr>
            </w:pPr>
          </w:p>
        </w:tc>
        <w:tc>
          <w:tcPr>
            <w:tcW w:w="2008" w:type="dxa"/>
            <w:tcBorders>
              <w:top w:val="single" w:sz="4" w:space="0" w:color="333333"/>
              <w:left w:val="single" w:sz="4" w:space="0" w:color="333333"/>
              <w:bottom w:val="single" w:sz="4" w:space="0" w:color="333333"/>
              <w:right w:val="single" w:sz="4" w:space="0" w:color="333333"/>
            </w:tcBorders>
            <w:hideMark/>
          </w:tcPr>
          <w:p w14:paraId="33F20564" w14:textId="0D0E8B53" w:rsidR="0020113D" w:rsidRDefault="0020113D">
            <w:pPr>
              <w:widowControl w:val="0"/>
              <w:rPr>
                <w:sz w:val="26"/>
                <w:szCs w:val="26"/>
                <w:lang w:val="en-US" w:eastAsia="en-US"/>
              </w:rPr>
            </w:pPr>
            <w:r>
              <w:rPr>
                <w:sz w:val="26"/>
                <w:szCs w:val="26"/>
                <w:lang w:val="en-US" w:eastAsia="en-US"/>
              </w:rPr>
              <w:t>August 20</w:t>
            </w:r>
            <w:r>
              <w:rPr>
                <w:sz w:val="26"/>
                <w:szCs w:val="26"/>
                <w:lang w:val="en-US" w:eastAsia="en-US"/>
              </w:rPr>
              <w:t>2</w:t>
            </w:r>
            <w:r>
              <w:rPr>
                <w:sz w:val="26"/>
                <w:szCs w:val="26"/>
                <w:lang w:val="en-US" w:eastAsia="en-US"/>
              </w:rPr>
              <w:t>7</w:t>
            </w:r>
          </w:p>
        </w:tc>
        <w:tc>
          <w:tcPr>
            <w:tcW w:w="2230" w:type="dxa"/>
            <w:tcBorders>
              <w:top w:val="single" w:sz="4" w:space="0" w:color="333333"/>
              <w:left w:val="single" w:sz="4" w:space="0" w:color="333333"/>
              <w:bottom w:val="single" w:sz="4" w:space="0" w:color="333333"/>
              <w:right w:val="single" w:sz="4" w:space="0" w:color="333333"/>
            </w:tcBorders>
          </w:tcPr>
          <w:p w14:paraId="66C59063" w14:textId="77777777" w:rsidR="0020113D" w:rsidRDefault="0020113D">
            <w:pPr>
              <w:widowControl w:val="0"/>
              <w:rPr>
                <w:sz w:val="26"/>
                <w:szCs w:val="26"/>
                <w:lang w:val="en-US" w:eastAsia="en-US"/>
              </w:rPr>
            </w:pPr>
          </w:p>
        </w:tc>
        <w:tc>
          <w:tcPr>
            <w:tcW w:w="2104" w:type="dxa"/>
            <w:tcBorders>
              <w:top w:val="single" w:sz="4" w:space="0" w:color="333333"/>
              <w:left w:val="single" w:sz="4" w:space="0" w:color="333333"/>
              <w:bottom w:val="single" w:sz="4" w:space="0" w:color="333333"/>
              <w:right w:val="single" w:sz="4" w:space="0" w:color="333333"/>
            </w:tcBorders>
          </w:tcPr>
          <w:p w14:paraId="4441159C" w14:textId="77777777" w:rsidR="0020113D" w:rsidRDefault="0020113D">
            <w:pPr>
              <w:widowControl w:val="0"/>
              <w:rPr>
                <w:sz w:val="26"/>
                <w:szCs w:val="26"/>
                <w:lang w:val="en-US" w:eastAsia="en-US"/>
              </w:rPr>
            </w:pPr>
          </w:p>
        </w:tc>
        <w:tc>
          <w:tcPr>
            <w:tcW w:w="3278" w:type="dxa"/>
            <w:tcBorders>
              <w:top w:val="single" w:sz="4" w:space="0" w:color="333333"/>
              <w:left w:val="single" w:sz="4" w:space="0" w:color="333333"/>
              <w:bottom w:val="single" w:sz="4" w:space="0" w:color="333333"/>
              <w:right w:val="single" w:sz="4" w:space="0" w:color="333333"/>
            </w:tcBorders>
            <w:hideMark/>
          </w:tcPr>
          <w:p w14:paraId="0FE6CDE1" w14:textId="77777777" w:rsidR="0020113D" w:rsidRDefault="0020113D">
            <w:pPr>
              <w:widowControl w:val="0"/>
              <w:rPr>
                <w:sz w:val="26"/>
                <w:szCs w:val="26"/>
                <w:lang w:val="en-US" w:eastAsia="en-US"/>
              </w:rPr>
            </w:pPr>
            <w:r>
              <w:rPr>
                <w:sz w:val="26"/>
                <w:szCs w:val="26"/>
                <w:lang w:val="en-US" w:eastAsia="en-US"/>
              </w:rPr>
              <w:t>Next review</w:t>
            </w:r>
          </w:p>
        </w:tc>
      </w:tr>
      <w:tr w:rsidR="0020113D" w14:paraId="44F8AC26"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31D455A1" w14:textId="77777777" w:rsidR="0020113D" w:rsidRDefault="0020113D">
            <w:pPr>
              <w:widowControl w:val="0"/>
              <w:rPr>
                <w:sz w:val="26"/>
                <w:szCs w:val="26"/>
                <w:lang w:val="en-US" w:eastAsia="en-US"/>
              </w:rPr>
            </w:pPr>
          </w:p>
        </w:tc>
        <w:tc>
          <w:tcPr>
            <w:tcW w:w="2008" w:type="dxa"/>
            <w:tcBorders>
              <w:top w:val="single" w:sz="4" w:space="0" w:color="333333"/>
              <w:left w:val="single" w:sz="4" w:space="0" w:color="333333"/>
              <w:bottom w:val="single" w:sz="4" w:space="0" w:color="333333"/>
              <w:right w:val="single" w:sz="4" w:space="0" w:color="333333"/>
            </w:tcBorders>
          </w:tcPr>
          <w:p w14:paraId="39E5D842" w14:textId="77777777" w:rsidR="0020113D" w:rsidRDefault="0020113D">
            <w:pPr>
              <w:widowControl w:val="0"/>
              <w:rPr>
                <w:sz w:val="26"/>
                <w:szCs w:val="26"/>
                <w:lang w:val="en-US" w:eastAsia="en-US"/>
              </w:rPr>
            </w:pPr>
          </w:p>
        </w:tc>
        <w:tc>
          <w:tcPr>
            <w:tcW w:w="2230" w:type="dxa"/>
            <w:tcBorders>
              <w:top w:val="single" w:sz="4" w:space="0" w:color="333333"/>
              <w:left w:val="single" w:sz="4" w:space="0" w:color="333333"/>
              <w:bottom w:val="single" w:sz="4" w:space="0" w:color="333333"/>
              <w:right w:val="single" w:sz="4" w:space="0" w:color="333333"/>
            </w:tcBorders>
          </w:tcPr>
          <w:p w14:paraId="41A61C7D" w14:textId="77777777" w:rsidR="0020113D" w:rsidRDefault="0020113D">
            <w:pPr>
              <w:widowControl w:val="0"/>
              <w:rPr>
                <w:sz w:val="26"/>
                <w:szCs w:val="26"/>
                <w:lang w:val="en-US" w:eastAsia="en-US"/>
              </w:rPr>
            </w:pPr>
          </w:p>
        </w:tc>
        <w:tc>
          <w:tcPr>
            <w:tcW w:w="2104" w:type="dxa"/>
            <w:tcBorders>
              <w:top w:val="single" w:sz="4" w:space="0" w:color="333333"/>
              <w:left w:val="single" w:sz="4" w:space="0" w:color="333333"/>
              <w:bottom w:val="single" w:sz="4" w:space="0" w:color="333333"/>
              <w:right w:val="single" w:sz="4" w:space="0" w:color="333333"/>
            </w:tcBorders>
          </w:tcPr>
          <w:p w14:paraId="1C9FD050" w14:textId="77777777" w:rsidR="0020113D" w:rsidRDefault="0020113D">
            <w:pPr>
              <w:widowControl w:val="0"/>
              <w:rPr>
                <w:sz w:val="26"/>
                <w:szCs w:val="26"/>
                <w:lang w:val="en-US" w:eastAsia="en-US"/>
              </w:rPr>
            </w:pPr>
          </w:p>
        </w:tc>
        <w:tc>
          <w:tcPr>
            <w:tcW w:w="3278" w:type="dxa"/>
            <w:tcBorders>
              <w:top w:val="single" w:sz="4" w:space="0" w:color="333333"/>
              <w:left w:val="single" w:sz="4" w:space="0" w:color="333333"/>
              <w:bottom w:val="single" w:sz="4" w:space="0" w:color="333333"/>
              <w:right w:val="single" w:sz="4" w:space="0" w:color="333333"/>
            </w:tcBorders>
          </w:tcPr>
          <w:p w14:paraId="3A074BEE" w14:textId="77777777" w:rsidR="0020113D" w:rsidRDefault="0020113D">
            <w:pPr>
              <w:widowControl w:val="0"/>
              <w:rPr>
                <w:sz w:val="26"/>
                <w:szCs w:val="26"/>
                <w:lang w:val="en-US" w:eastAsia="en-US"/>
              </w:rPr>
            </w:pPr>
          </w:p>
        </w:tc>
      </w:tr>
      <w:tr w:rsidR="0020113D" w14:paraId="49C1BB0A"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12F0FA9C" w14:textId="77777777" w:rsidR="0020113D" w:rsidRDefault="0020113D">
            <w:pPr>
              <w:widowControl w:val="0"/>
              <w:rPr>
                <w:sz w:val="26"/>
                <w:szCs w:val="26"/>
                <w:lang w:val="en-US" w:eastAsia="en-US"/>
              </w:rPr>
            </w:pPr>
          </w:p>
        </w:tc>
        <w:tc>
          <w:tcPr>
            <w:tcW w:w="2008" w:type="dxa"/>
            <w:tcBorders>
              <w:top w:val="single" w:sz="4" w:space="0" w:color="333333"/>
              <w:left w:val="single" w:sz="4" w:space="0" w:color="333333"/>
              <w:bottom w:val="single" w:sz="4" w:space="0" w:color="333333"/>
              <w:right w:val="single" w:sz="4" w:space="0" w:color="333333"/>
            </w:tcBorders>
          </w:tcPr>
          <w:p w14:paraId="41CAED1E" w14:textId="77777777" w:rsidR="0020113D" w:rsidRDefault="0020113D">
            <w:pPr>
              <w:widowControl w:val="0"/>
              <w:rPr>
                <w:sz w:val="26"/>
                <w:szCs w:val="26"/>
                <w:lang w:val="en-US" w:eastAsia="en-US"/>
              </w:rPr>
            </w:pPr>
          </w:p>
        </w:tc>
        <w:tc>
          <w:tcPr>
            <w:tcW w:w="2230" w:type="dxa"/>
            <w:tcBorders>
              <w:top w:val="single" w:sz="4" w:space="0" w:color="333333"/>
              <w:left w:val="single" w:sz="4" w:space="0" w:color="333333"/>
              <w:bottom w:val="single" w:sz="4" w:space="0" w:color="333333"/>
              <w:right w:val="single" w:sz="4" w:space="0" w:color="333333"/>
            </w:tcBorders>
          </w:tcPr>
          <w:p w14:paraId="20F76574" w14:textId="77777777" w:rsidR="0020113D" w:rsidRDefault="0020113D">
            <w:pPr>
              <w:widowControl w:val="0"/>
              <w:rPr>
                <w:sz w:val="26"/>
                <w:szCs w:val="26"/>
                <w:lang w:val="en-US" w:eastAsia="en-US"/>
              </w:rPr>
            </w:pPr>
          </w:p>
        </w:tc>
        <w:tc>
          <w:tcPr>
            <w:tcW w:w="2104" w:type="dxa"/>
            <w:tcBorders>
              <w:top w:val="single" w:sz="4" w:space="0" w:color="333333"/>
              <w:left w:val="single" w:sz="4" w:space="0" w:color="333333"/>
              <w:bottom w:val="single" w:sz="4" w:space="0" w:color="333333"/>
              <w:right w:val="single" w:sz="4" w:space="0" w:color="333333"/>
            </w:tcBorders>
          </w:tcPr>
          <w:p w14:paraId="4DFBC68A" w14:textId="77777777" w:rsidR="0020113D" w:rsidRDefault="0020113D">
            <w:pPr>
              <w:widowControl w:val="0"/>
              <w:rPr>
                <w:sz w:val="26"/>
                <w:szCs w:val="26"/>
                <w:lang w:val="en-US" w:eastAsia="en-US"/>
              </w:rPr>
            </w:pPr>
          </w:p>
        </w:tc>
        <w:tc>
          <w:tcPr>
            <w:tcW w:w="3278" w:type="dxa"/>
            <w:tcBorders>
              <w:top w:val="single" w:sz="4" w:space="0" w:color="333333"/>
              <w:left w:val="single" w:sz="4" w:space="0" w:color="333333"/>
              <w:bottom w:val="single" w:sz="4" w:space="0" w:color="333333"/>
              <w:right w:val="single" w:sz="4" w:space="0" w:color="333333"/>
            </w:tcBorders>
          </w:tcPr>
          <w:p w14:paraId="4EFC8D33" w14:textId="77777777" w:rsidR="0020113D" w:rsidRDefault="0020113D">
            <w:pPr>
              <w:widowControl w:val="0"/>
              <w:rPr>
                <w:sz w:val="26"/>
                <w:szCs w:val="26"/>
                <w:lang w:val="en-US" w:eastAsia="en-US"/>
              </w:rPr>
            </w:pPr>
          </w:p>
        </w:tc>
      </w:tr>
    </w:tbl>
    <w:p w14:paraId="256F165F" w14:textId="77777777" w:rsidR="003E2BAC" w:rsidRPr="008C4C49" w:rsidRDefault="003E2BAC" w:rsidP="0097074D">
      <w:pPr>
        <w:jc w:val="center"/>
        <w:rPr>
          <w:rFonts w:ascii="Arial" w:hAnsi="Arial" w:cs="Arial"/>
          <w:sz w:val="28"/>
          <w:szCs w:val="28"/>
        </w:rPr>
      </w:pPr>
    </w:p>
    <w:p w14:paraId="34A22122" w14:textId="77777777" w:rsidR="00E85096" w:rsidRPr="008C4C49" w:rsidRDefault="00E85096">
      <w:pPr>
        <w:rPr>
          <w:rFonts w:ascii="Arial" w:hAnsi="Arial" w:cs="Arial"/>
          <w:sz w:val="13"/>
          <w:szCs w:val="13"/>
        </w:rPr>
      </w:pPr>
    </w:p>
    <w:p w14:paraId="4ADDD4F7" w14:textId="125E9F1C" w:rsidR="000858D5" w:rsidRPr="008C4C49" w:rsidRDefault="00D05574">
      <w:pPr>
        <w:rPr>
          <w:rFonts w:ascii="Arial" w:hAnsi="Arial" w:cs="Arial"/>
          <w:b/>
          <w:sz w:val="28"/>
          <w:szCs w:val="28"/>
        </w:rPr>
      </w:pPr>
      <w:r w:rsidRPr="008C4C49">
        <w:rPr>
          <w:rFonts w:ascii="Arial Bold" w:hAnsi="Arial Bold" w:cs="Arial"/>
          <w:b/>
          <w:sz w:val="28"/>
          <w:szCs w:val="28"/>
        </w:rPr>
        <w:t>Table</w:t>
      </w:r>
      <w:r w:rsidRPr="008C4C49">
        <w:rPr>
          <w:rFonts w:ascii="Arial" w:hAnsi="Arial" w:cs="Arial"/>
          <w:b/>
          <w:sz w:val="28"/>
          <w:szCs w:val="28"/>
        </w:rPr>
        <w:t xml:space="preserve"> of c</w:t>
      </w:r>
      <w:r w:rsidR="000858D5" w:rsidRPr="008C4C49">
        <w:rPr>
          <w:rFonts w:ascii="Arial" w:hAnsi="Arial" w:cs="Arial"/>
          <w:b/>
          <w:sz w:val="28"/>
          <w:szCs w:val="28"/>
        </w:rPr>
        <w:t>ontents</w:t>
      </w:r>
    </w:p>
    <w:bookmarkStart w:id="0" w:name="_Introduction"/>
    <w:bookmarkEnd w:id="0"/>
    <w:p w14:paraId="18611D7F" w14:textId="3EE2B3A2" w:rsidR="006F71B7" w:rsidRPr="003F4D2F" w:rsidRDefault="00D85E4D" w:rsidP="003F4D2F">
      <w:pPr>
        <w:pStyle w:val="TOC1"/>
        <w:rPr>
          <w:rFonts w:eastAsiaTheme="minorEastAsia"/>
          <w:caps/>
          <w:kern w:val="2"/>
          <w14:ligatures w14:val="standardContextual"/>
        </w:rPr>
      </w:pPr>
      <w:r w:rsidRPr="0022000E">
        <w:rPr>
          <w:caps/>
          <w:sz w:val="20"/>
          <w:szCs w:val="28"/>
        </w:rPr>
        <w:fldChar w:fldCharType="begin"/>
      </w:r>
      <w:r w:rsidRPr="0022000E">
        <w:rPr>
          <w:sz w:val="20"/>
          <w:szCs w:val="28"/>
        </w:rPr>
        <w:instrText xml:space="preserve"> TOC \o "1-3" \h \z \u </w:instrText>
      </w:r>
      <w:r w:rsidRPr="0022000E">
        <w:rPr>
          <w:caps/>
          <w:sz w:val="20"/>
          <w:szCs w:val="28"/>
        </w:rPr>
        <w:fldChar w:fldCharType="separate"/>
      </w:r>
      <w:hyperlink w:anchor="_Toc188265297" w:history="1">
        <w:r w:rsidR="006F71B7" w:rsidRPr="003F4D2F">
          <w:rPr>
            <w:rStyle w:val="Hyperlink"/>
          </w:rPr>
          <w:t>1</w:t>
        </w:r>
        <w:r w:rsidR="006F71B7" w:rsidRPr="003F4D2F">
          <w:rPr>
            <w:rFonts w:eastAsiaTheme="minorEastAsia"/>
            <w:kern w:val="2"/>
            <w14:ligatures w14:val="standardContextual"/>
          </w:rPr>
          <w:tab/>
        </w:r>
        <w:r w:rsidR="006F71B7" w:rsidRPr="003F4D2F">
          <w:rPr>
            <w:rStyle w:val="Hyperlink"/>
          </w:rPr>
          <w:t>Introduction</w:t>
        </w:r>
        <w:r w:rsidR="006F71B7" w:rsidRPr="003F4D2F">
          <w:rPr>
            <w:webHidden/>
          </w:rPr>
          <w:tab/>
        </w:r>
        <w:r w:rsidR="006F71B7" w:rsidRPr="003F4D2F">
          <w:rPr>
            <w:caps/>
            <w:webHidden/>
          </w:rPr>
          <w:fldChar w:fldCharType="begin"/>
        </w:r>
        <w:r w:rsidR="006F71B7" w:rsidRPr="003F4D2F">
          <w:rPr>
            <w:webHidden/>
          </w:rPr>
          <w:instrText xml:space="preserve"> PAGEREF _Toc188265297 \h </w:instrText>
        </w:r>
        <w:r w:rsidR="006F71B7" w:rsidRPr="003F4D2F">
          <w:rPr>
            <w:caps/>
            <w:webHidden/>
          </w:rPr>
        </w:r>
        <w:r w:rsidR="006F71B7" w:rsidRPr="003F4D2F">
          <w:rPr>
            <w:caps/>
            <w:webHidden/>
          </w:rPr>
          <w:fldChar w:fldCharType="separate"/>
        </w:r>
        <w:r w:rsidR="003F4D2F">
          <w:rPr>
            <w:webHidden/>
          </w:rPr>
          <w:t>2</w:t>
        </w:r>
        <w:r w:rsidR="006F71B7" w:rsidRPr="003F4D2F">
          <w:rPr>
            <w:caps/>
            <w:webHidden/>
          </w:rPr>
          <w:fldChar w:fldCharType="end"/>
        </w:r>
      </w:hyperlink>
    </w:p>
    <w:p w14:paraId="60B5503A" w14:textId="3397EDA2" w:rsidR="006F71B7" w:rsidRPr="003F4D2F" w:rsidRDefault="006F71B7">
      <w:pPr>
        <w:pStyle w:val="TOC2"/>
        <w:rPr>
          <w:rFonts w:ascii="Arial" w:eastAsiaTheme="minorEastAsia" w:hAnsi="Arial" w:cs="Arial"/>
          <w:b w:val="0"/>
          <w:bCs w:val="0"/>
          <w:noProof/>
          <w:kern w:val="2"/>
          <w14:ligatures w14:val="standardContextual"/>
        </w:rPr>
      </w:pPr>
      <w:hyperlink w:anchor="_Toc188265298" w:history="1">
        <w:r w:rsidRPr="003F4D2F">
          <w:rPr>
            <w:rStyle w:val="Hyperlink"/>
            <w:rFonts w:ascii="Arial" w:eastAsiaTheme="majorEastAsia" w:hAnsi="Arial" w:cs="Arial"/>
            <w:noProof/>
          </w:rPr>
          <w:t>1.1</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Guidance statement</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_Toc188265298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2</w:t>
        </w:r>
        <w:r w:rsidRPr="003F4D2F">
          <w:rPr>
            <w:rFonts w:ascii="Arial" w:hAnsi="Arial" w:cs="Arial"/>
            <w:noProof/>
            <w:webHidden/>
          </w:rPr>
          <w:fldChar w:fldCharType="end"/>
        </w:r>
      </w:hyperlink>
    </w:p>
    <w:p w14:paraId="26D398AA" w14:textId="68EDC2EA" w:rsidR="006F71B7" w:rsidRPr="003F4D2F" w:rsidRDefault="006F71B7">
      <w:pPr>
        <w:pStyle w:val="TOC2"/>
        <w:rPr>
          <w:rFonts w:ascii="Arial" w:eastAsiaTheme="minorEastAsia" w:hAnsi="Arial" w:cs="Arial"/>
          <w:b w:val="0"/>
          <w:bCs w:val="0"/>
          <w:noProof/>
          <w:kern w:val="2"/>
          <w14:ligatures w14:val="standardContextual"/>
        </w:rPr>
      </w:pPr>
      <w:hyperlink w:anchor="_Toc188265299" w:history="1">
        <w:r w:rsidRPr="003F4D2F">
          <w:rPr>
            <w:rStyle w:val="Hyperlink"/>
            <w:rFonts w:ascii="Arial" w:eastAsiaTheme="majorEastAsia" w:hAnsi="Arial" w:cs="Arial"/>
            <w:noProof/>
          </w:rPr>
          <w:t>1.2</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Status</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_Toc188265299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2</w:t>
        </w:r>
        <w:r w:rsidRPr="003F4D2F">
          <w:rPr>
            <w:rFonts w:ascii="Arial" w:hAnsi="Arial" w:cs="Arial"/>
            <w:noProof/>
            <w:webHidden/>
          </w:rPr>
          <w:fldChar w:fldCharType="end"/>
        </w:r>
      </w:hyperlink>
    </w:p>
    <w:p w14:paraId="1E947233" w14:textId="065951C2" w:rsidR="006F71B7" w:rsidRPr="003F4D2F" w:rsidRDefault="006F71B7" w:rsidP="003F4D2F">
      <w:pPr>
        <w:pStyle w:val="TOC1"/>
        <w:rPr>
          <w:rFonts w:eastAsiaTheme="minorEastAsia"/>
          <w:caps/>
          <w:kern w:val="2"/>
          <w14:ligatures w14:val="standardContextual"/>
        </w:rPr>
      </w:pPr>
      <w:hyperlink w:anchor="_Toc188265300" w:history="1">
        <w:r w:rsidRPr="003F4D2F">
          <w:rPr>
            <w:rStyle w:val="Hyperlink"/>
          </w:rPr>
          <w:t>2</w:t>
        </w:r>
        <w:r w:rsidRPr="003F4D2F">
          <w:rPr>
            <w:rFonts w:eastAsiaTheme="minorEastAsia"/>
            <w:kern w:val="2"/>
            <w14:ligatures w14:val="standardContextual"/>
          </w:rPr>
          <w:tab/>
        </w:r>
        <w:r w:rsidRPr="003F4D2F">
          <w:rPr>
            <w:rStyle w:val="Hyperlink"/>
          </w:rPr>
          <w:t>Managing sepsis in general practice</w:t>
        </w:r>
        <w:r w:rsidRPr="003F4D2F">
          <w:rPr>
            <w:webHidden/>
          </w:rPr>
          <w:tab/>
        </w:r>
        <w:r w:rsidRPr="003F4D2F">
          <w:rPr>
            <w:caps/>
            <w:webHidden/>
          </w:rPr>
          <w:fldChar w:fldCharType="begin"/>
        </w:r>
        <w:r w:rsidRPr="003F4D2F">
          <w:rPr>
            <w:webHidden/>
          </w:rPr>
          <w:instrText xml:space="preserve"> PAGEREF _Toc188265300 \h </w:instrText>
        </w:r>
        <w:r w:rsidRPr="003F4D2F">
          <w:rPr>
            <w:caps/>
            <w:webHidden/>
          </w:rPr>
        </w:r>
        <w:r w:rsidRPr="003F4D2F">
          <w:rPr>
            <w:caps/>
            <w:webHidden/>
          </w:rPr>
          <w:fldChar w:fldCharType="separate"/>
        </w:r>
        <w:r w:rsidR="003F4D2F">
          <w:rPr>
            <w:webHidden/>
          </w:rPr>
          <w:t>2</w:t>
        </w:r>
        <w:r w:rsidRPr="003F4D2F">
          <w:rPr>
            <w:caps/>
            <w:webHidden/>
          </w:rPr>
          <w:fldChar w:fldCharType="end"/>
        </w:r>
      </w:hyperlink>
    </w:p>
    <w:p w14:paraId="3FEDCA18" w14:textId="6B81BAD3" w:rsidR="006F71B7" w:rsidRPr="003F4D2F" w:rsidRDefault="006F71B7">
      <w:pPr>
        <w:pStyle w:val="TOC2"/>
        <w:rPr>
          <w:rFonts w:ascii="Arial" w:eastAsiaTheme="minorEastAsia" w:hAnsi="Arial" w:cs="Arial"/>
          <w:b w:val="0"/>
          <w:bCs w:val="0"/>
          <w:noProof/>
          <w:kern w:val="2"/>
          <w14:ligatures w14:val="standardContextual"/>
        </w:rPr>
      </w:pPr>
      <w:hyperlink w:anchor="_Toc188265301" w:history="1">
        <w:r w:rsidRPr="003F4D2F">
          <w:rPr>
            <w:rStyle w:val="Hyperlink"/>
            <w:rFonts w:ascii="Arial" w:eastAsiaTheme="majorEastAsia" w:hAnsi="Arial" w:cs="Arial"/>
            <w:noProof/>
          </w:rPr>
          <w:t>2.1</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Early diagnosis</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_Toc188265301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2</w:t>
        </w:r>
        <w:r w:rsidRPr="003F4D2F">
          <w:rPr>
            <w:rFonts w:ascii="Arial" w:hAnsi="Arial" w:cs="Arial"/>
            <w:noProof/>
            <w:webHidden/>
          </w:rPr>
          <w:fldChar w:fldCharType="end"/>
        </w:r>
      </w:hyperlink>
    </w:p>
    <w:p w14:paraId="206EE412" w14:textId="7A29CBB1" w:rsidR="006F71B7" w:rsidRPr="003F4D2F" w:rsidRDefault="006F71B7">
      <w:pPr>
        <w:pStyle w:val="TOC2"/>
        <w:rPr>
          <w:rFonts w:ascii="Arial" w:eastAsiaTheme="minorEastAsia" w:hAnsi="Arial" w:cs="Arial"/>
          <w:b w:val="0"/>
          <w:bCs w:val="0"/>
          <w:noProof/>
          <w:kern w:val="2"/>
          <w14:ligatures w14:val="standardContextual"/>
        </w:rPr>
      </w:pPr>
      <w:hyperlink w:anchor="_Toc188265302" w:history="1">
        <w:r w:rsidRPr="003F4D2F">
          <w:rPr>
            <w:rStyle w:val="Hyperlink"/>
            <w:rFonts w:ascii="Arial" w:eastAsiaTheme="majorEastAsia" w:hAnsi="Arial" w:cs="Arial"/>
            <w:noProof/>
          </w:rPr>
          <w:t>2.2</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Initial assessment</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_Toc188265302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3</w:t>
        </w:r>
        <w:r w:rsidRPr="003F4D2F">
          <w:rPr>
            <w:rFonts w:ascii="Arial" w:hAnsi="Arial" w:cs="Arial"/>
            <w:noProof/>
            <w:webHidden/>
          </w:rPr>
          <w:fldChar w:fldCharType="end"/>
        </w:r>
      </w:hyperlink>
    </w:p>
    <w:p w14:paraId="593048D9" w14:textId="39DDE48D" w:rsidR="006F71B7" w:rsidRPr="003F4D2F" w:rsidRDefault="006F71B7">
      <w:pPr>
        <w:pStyle w:val="TOC2"/>
        <w:rPr>
          <w:rFonts w:ascii="Arial" w:eastAsiaTheme="minorEastAsia" w:hAnsi="Arial" w:cs="Arial"/>
          <w:b w:val="0"/>
          <w:bCs w:val="0"/>
          <w:noProof/>
          <w:kern w:val="2"/>
          <w14:ligatures w14:val="standardContextual"/>
        </w:rPr>
      </w:pPr>
      <w:hyperlink w:anchor="_Toc188265303" w:history="1">
        <w:r w:rsidRPr="003F4D2F">
          <w:rPr>
            <w:rStyle w:val="Hyperlink"/>
            <w:rFonts w:ascii="Arial" w:eastAsiaTheme="majorEastAsia" w:hAnsi="Arial" w:cs="Arial"/>
            <w:noProof/>
          </w:rPr>
          <w:t>2.3</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Management in primary care</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_Toc188265303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3</w:t>
        </w:r>
        <w:r w:rsidRPr="003F4D2F">
          <w:rPr>
            <w:rFonts w:ascii="Arial" w:hAnsi="Arial" w:cs="Arial"/>
            <w:noProof/>
            <w:webHidden/>
          </w:rPr>
          <w:fldChar w:fldCharType="end"/>
        </w:r>
      </w:hyperlink>
    </w:p>
    <w:p w14:paraId="2C67A385" w14:textId="627C93D5" w:rsidR="006F71B7" w:rsidRPr="003F4D2F" w:rsidRDefault="006F71B7">
      <w:pPr>
        <w:pStyle w:val="TOC2"/>
        <w:rPr>
          <w:rFonts w:ascii="Arial" w:eastAsiaTheme="minorEastAsia" w:hAnsi="Arial" w:cs="Arial"/>
          <w:b w:val="0"/>
          <w:bCs w:val="0"/>
          <w:noProof/>
          <w:kern w:val="2"/>
          <w14:ligatures w14:val="standardContextual"/>
        </w:rPr>
      </w:pPr>
      <w:hyperlink w:anchor="_Toc188265304" w:history="1">
        <w:r w:rsidRPr="003F4D2F">
          <w:rPr>
            <w:rStyle w:val="Hyperlink"/>
            <w:rFonts w:ascii="Arial" w:eastAsiaTheme="majorEastAsia" w:hAnsi="Arial" w:cs="Arial"/>
            <w:noProof/>
          </w:rPr>
          <w:t>2.4</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Non-clinical staff responsibilities and training</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_Toc188265304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3</w:t>
        </w:r>
        <w:r w:rsidRPr="003F4D2F">
          <w:rPr>
            <w:rFonts w:ascii="Arial" w:hAnsi="Arial" w:cs="Arial"/>
            <w:noProof/>
            <w:webHidden/>
          </w:rPr>
          <w:fldChar w:fldCharType="end"/>
        </w:r>
      </w:hyperlink>
    </w:p>
    <w:p w14:paraId="1EF8F45E" w14:textId="4F883E05" w:rsidR="006F71B7" w:rsidRPr="003F4D2F" w:rsidRDefault="006F71B7">
      <w:pPr>
        <w:pStyle w:val="TOC2"/>
        <w:rPr>
          <w:rFonts w:ascii="Arial" w:eastAsiaTheme="minorEastAsia" w:hAnsi="Arial" w:cs="Arial"/>
          <w:b w:val="0"/>
          <w:bCs w:val="0"/>
          <w:noProof/>
          <w:kern w:val="2"/>
          <w14:ligatures w14:val="standardContextual"/>
        </w:rPr>
      </w:pPr>
      <w:hyperlink w:anchor="_Toc188265305" w:history="1">
        <w:r w:rsidRPr="003F4D2F">
          <w:rPr>
            <w:rStyle w:val="Hyperlink"/>
            <w:rFonts w:ascii="Arial" w:eastAsiaTheme="majorEastAsia" w:hAnsi="Arial" w:cs="Arial"/>
            <w:noProof/>
          </w:rPr>
          <w:t>2.5</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Equipment</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_Toc188265305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4</w:t>
        </w:r>
        <w:r w:rsidRPr="003F4D2F">
          <w:rPr>
            <w:rFonts w:ascii="Arial" w:hAnsi="Arial" w:cs="Arial"/>
            <w:noProof/>
            <w:webHidden/>
          </w:rPr>
          <w:fldChar w:fldCharType="end"/>
        </w:r>
      </w:hyperlink>
    </w:p>
    <w:p w14:paraId="4FC385D3" w14:textId="3DF3BCC7" w:rsidR="006F71B7" w:rsidRPr="003F4D2F" w:rsidRDefault="006F71B7">
      <w:pPr>
        <w:pStyle w:val="TOC2"/>
        <w:rPr>
          <w:rFonts w:ascii="Arial" w:eastAsiaTheme="minorEastAsia" w:hAnsi="Arial" w:cs="Arial"/>
          <w:b w:val="0"/>
          <w:bCs w:val="0"/>
          <w:noProof/>
          <w:kern w:val="2"/>
          <w14:ligatures w14:val="standardContextual"/>
        </w:rPr>
      </w:pPr>
      <w:hyperlink w:anchor="_Toc188265306" w:history="1">
        <w:r w:rsidRPr="003F4D2F">
          <w:rPr>
            <w:rStyle w:val="Hyperlink"/>
            <w:rFonts w:ascii="Arial" w:eastAsiaTheme="majorEastAsia" w:hAnsi="Arial" w:cs="Arial"/>
            <w:noProof/>
          </w:rPr>
          <w:t>2.6</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Discussing the unwell patient on the telephone</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_Toc188265306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4</w:t>
        </w:r>
        <w:r w:rsidRPr="003F4D2F">
          <w:rPr>
            <w:rFonts w:ascii="Arial" w:hAnsi="Arial" w:cs="Arial"/>
            <w:noProof/>
            <w:webHidden/>
          </w:rPr>
          <w:fldChar w:fldCharType="end"/>
        </w:r>
      </w:hyperlink>
    </w:p>
    <w:p w14:paraId="1AF1DB07" w14:textId="1FD629E3" w:rsidR="006F71B7" w:rsidRPr="003F4D2F" w:rsidRDefault="006F71B7">
      <w:pPr>
        <w:pStyle w:val="TOC2"/>
        <w:rPr>
          <w:rFonts w:ascii="Arial" w:eastAsiaTheme="minorEastAsia" w:hAnsi="Arial" w:cs="Arial"/>
          <w:b w:val="0"/>
          <w:bCs w:val="0"/>
          <w:noProof/>
          <w:kern w:val="2"/>
          <w14:ligatures w14:val="standardContextual"/>
        </w:rPr>
      </w:pPr>
      <w:hyperlink w:anchor="_Toc188265307" w:history="1">
        <w:r w:rsidRPr="003F4D2F">
          <w:rPr>
            <w:rStyle w:val="Hyperlink"/>
            <w:rFonts w:ascii="Arial" w:eastAsiaTheme="majorEastAsia" w:hAnsi="Arial" w:cs="Arial"/>
            <w:noProof/>
          </w:rPr>
          <w:t>2.7</w:t>
        </w:r>
        <w:r w:rsidRPr="003F4D2F">
          <w:rPr>
            <w:rFonts w:ascii="Arial" w:eastAsiaTheme="minorEastAsia" w:hAnsi="Arial" w:cs="Arial"/>
            <w:b w:val="0"/>
            <w:bCs w:val="0"/>
            <w:noProof/>
            <w:kern w:val="2"/>
            <w14:ligatures w14:val="standardContextual"/>
          </w:rPr>
          <w:tab/>
        </w:r>
        <w:r w:rsidRPr="003F4D2F">
          <w:rPr>
            <w:rStyle w:val="Hyperlink"/>
            <w:rFonts w:ascii="Arial" w:eastAsiaTheme="majorEastAsia" w:hAnsi="Arial" w:cs="Arial"/>
            <w:noProof/>
          </w:rPr>
          <w:t>Appointment priority</w:t>
        </w:r>
        <w:r w:rsidRPr="003F4D2F">
          <w:rPr>
            <w:rFonts w:ascii="Arial" w:hAnsi="Arial" w:cs="Arial"/>
            <w:noProof/>
            <w:webHidden/>
          </w:rPr>
          <w:tab/>
        </w:r>
        <w:r w:rsidRPr="003F4D2F">
          <w:rPr>
            <w:rFonts w:ascii="Arial" w:hAnsi="Arial" w:cs="Arial"/>
            <w:noProof/>
            <w:webHidden/>
          </w:rPr>
          <w:fldChar w:fldCharType="begin"/>
        </w:r>
        <w:r w:rsidRPr="003F4D2F">
          <w:rPr>
            <w:rFonts w:ascii="Arial" w:hAnsi="Arial" w:cs="Arial"/>
            <w:noProof/>
            <w:webHidden/>
          </w:rPr>
          <w:instrText xml:space="preserve"> PAGEREF _Toc188265307 \h </w:instrText>
        </w:r>
        <w:r w:rsidRPr="003F4D2F">
          <w:rPr>
            <w:rFonts w:ascii="Arial" w:hAnsi="Arial" w:cs="Arial"/>
            <w:noProof/>
            <w:webHidden/>
          </w:rPr>
        </w:r>
        <w:r w:rsidRPr="003F4D2F">
          <w:rPr>
            <w:rFonts w:ascii="Arial" w:hAnsi="Arial" w:cs="Arial"/>
            <w:noProof/>
            <w:webHidden/>
          </w:rPr>
          <w:fldChar w:fldCharType="separate"/>
        </w:r>
        <w:r w:rsidR="003F4D2F">
          <w:rPr>
            <w:rFonts w:ascii="Arial" w:hAnsi="Arial" w:cs="Arial"/>
            <w:noProof/>
            <w:webHidden/>
          </w:rPr>
          <w:t>4</w:t>
        </w:r>
        <w:r w:rsidRPr="003F4D2F">
          <w:rPr>
            <w:rFonts w:ascii="Arial" w:hAnsi="Arial" w:cs="Arial"/>
            <w:noProof/>
            <w:webHidden/>
          </w:rPr>
          <w:fldChar w:fldCharType="end"/>
        </w:r>
      </w:hyperlink>
    </w:p>
    <w:p w14:paraId="4A7E19E2" w14:textId="4B6C5A2F" w:rsidR="003A6E90" w:rsidRPr="005E174E" w:rsidRDefault="00D85E4D" w:rsidP="003F4D2F">
      <w:pPr>
        <w:pStyle w:val="TOC1"/>
      </w:pPr>
      <w:r w:rsidRPr="0022000E">
        <w:fldChar w:fldCharType="end"/>
      </w:r>
    </w:p>
    <w:p w14:paraId="1C435AB1" w14:textId="77777777" w:rsidR="003A6E90" w:rsidRDefault="003A6E90" w:rsidP="00370A79">
      <w:pPr>
        <w:tabs>
          <w:tab w:val="left" w:pos="3081"/>
        </w:tabs>
      </w:pPr>
    </w:p>
    <w:p w14:paraId="153C7CBF" w14:textId="77777777" w:rsidR="0022000E" w:rsidRDefault="0022000E" w:rsidP="00370A79">
      <w:pPr>
        <w:tabs>
          <w:tab w:val="left" w:pos="3081"/>
        </w:tabs>
      </w:pPr>
    </w:p>
    <w:p w14:paraId="0EBB9EEF" w14:textId="77777777" w:rsidR="006F71B7" w:rsidRDefault="006F71B7" w:rsidP="00370A79">
      <w:pPr>
        <w:tabs>
          <w:tab w:val="left" w:pos="3081"/>
        </w:tabs>
      </w:pPr>
    </w:p>
    <w:p w14:paraId="4EF91264" w14:textId="77777777" w:rsidR="0022000E" w:rsidRDefault="0022000E" w:rsidP="00370A79">
      <w:pPr>
        <w:tabs>
          <w:tab w:val="left" w:pos="3081"/>
        </w:tabs>
      </w:pPr>
    </w:p>
    <w:p w14:paraId="6B147D87" w14:textId="77777777" w:rsidR="0022000E" w:rsidRDefault="0022000E" w:rsidP="00370A79">
      <w:pPr>
        <w:tabs>
          <w:tab w:val="left" w:pos="3081"/>
        </w:tabs>
      </w:pPr>
    </w:p>
    <w:p w14:paraId="591C2FB9" w14:textId="77777777" w:rsidR="0022000E" w:rsidRDefault="0022000E" w:rsidP="00370A79">
      <w:pPr>
        <w:tabs>
          <w:tab w:val="left" w:pos="3081"/>
        </w:tabs>
      </w:pPr>
    </w:p>
    <w:p w14:paraId="55804B62" w14:textId="77777777" w:rsidR="0022000E" w:rsidRDefault="0022000E" w:rsidP="00370A79">
      <w:pPr>
        <w:tabs>
          <w:tab w:val="left" w:pos="3081"/>
        </w:tabs>
      </w:pPr>
    </w:p>
    <w:p w14:paraId="5B266AD9" w14:textId="77777777" w:rsidR="0022000E" w:rsidRDefault="0022000E" w:rsidP="00370A79">
      <w:pPr>
        <w:tabs>
          <w:tab w:val="left" w:pos="3081"/>
        </w:tabs>
      </w:pPr>
    </w:p>
    <w:p w14:paraId="3B00CCA6" w14:textId="77777777" w:rsidR="0022000E" w:rsidRDefault="0022000E" w:rsidP="00370A79">
      <w:pPr>
        <w:tabs>
          <w:tab w:val="left" w:pos="3081"/>
        </w:tabs>
      </w:pPr>
    </w:p>
    <w:p w14:paraId="2C57C0E1" w14:textId="77777777" w:rsidR="0022000E" w:rsidRDefault="0022000E" w:rsidP="00370A79">
      <w:pPr>
        <w:tabs>
          <w:tab w:val="left" w:pos="3081"/>
        </w:tabs>
      </w:pPr>
    </w:p>
    <w:p w14:paraId="5F7B31B1" w14:textId="77777777" w:rsidR="003A6E90" w:rsidRDefault="003A6E90" w:rsidP="00370A79">
      <w:pPr>
        <w:tabs>
          <w:tab w:val="left" w:pos="3081"/>
        </w:tabs>
      </w:pPr>
    </w:p>
    <w:p w14:paraId="68ECBCEC" w14:textId="0203A481" w:rsidR="0020113D" w:rsidRDefault="0020113D">
      <w:r>
        <w:br w:type="page"/>
      </w:r>
    </w:p>
    <w:p w14:paraId="60CAA8ED" w14:textId="77777777" w:rsidR="00885A8F" w:rsidRPr="008C4C49" w:rsidRDefault="00885A8F" w:rsidP="00885A8F"/>
    <w:p w14:paraId="112FFD7B" w14:textId="7E8F32BD" w:rsidR="00A72123" w:rsidRPr="008C4C49" w:rsidRDefault="00A72123" w:rsidP="00A72123">
      <w:pPr>
        <w:pStyle w:val="Heading1"/>
        <w:keepLines/>
        <w:pBdr>
          <w:bottom w:val="single" w:sz="4" w:space="1" w:color="595959" w:themeColor="text1" w:themeTint="A6"/>
        </w:pBdr>
        <w:spacing w:before="360" w:after="160" w:line="259" w:lineRule="auto"/>
        <w:rPr>
          <w:sz w:val="28"/>
          <w:szCs w:val="28"/>
        </w:rPr>
      </w:pPr>
      <w:bookmarkStart w:id="1" w:name="_Toc186198826"/>
      <w:bookmarkStart w:id="2" w:name="_Toc187231313"/>
      <w:bookmarkStart w:id="3" w:name="_Toc187308040"/>
      <w:bookmarkStart w:id="4" w:name="_Toc187332355"/>
      <w:bookmarkStart w:id="5" w:name="_Toc187401973"/>
      <w:bookmarkStart w:id="6" w:name="_Toc187651968"/>
      <w:bookmarkStart w:id="7" w:name="_Toc187652034"/>
      <w:bookmarkStart w:id="8" w:name="_Toc186198827"/>
      <w:bookmarkStart w:id="9" w:name="_Toc187231314"/>
      <w:bookmarkStart w:id="10" w:name="_Toc187308041"/>
      <w:bookmarkStart w:id="11" w:name="_Toc187332356"/>
      <w:bookmarkStart w:id="12" w:name="_Toc187401974"/>
      <w:bookmarkStart w:id="13" w:name="_Toc187651969"/>
      <w:bookmarkStart w:id="14" w:name="_Toc187652035"/>
      <w:bookmarkStart w:id="15" w:name="_Toc186198828"/>
      <w:bookmarkStart w:id="16" w:name="_Toc187231315"/>
      <w:bookmarkStart w:id="17" w:name="_Toc187308042"/>
      <w:bookmarkStart w:id="18" w:name="_Toc187332357"/>
      <w:bookmarkStart w:id="19" w:name="_Toc187401975"/>
      <w:bookmarkStart w:id="20" w:name="_Toc187651970"/>
      <w:bookmarkStart w:id="21" w:name="_Toc187652036"/>
      <w:bookmarkStart w:id="22" w:name="_Toc186198829"/>
      <w:bookmarkStart w:id="23" w:name="_Toc187231316"/>
      <w:bookmarkStart w:id="24" w:name="_Toc187308043"/>
      <w:bookmarkStart w:id="25" w:name="_Toc187332358"/>
      <w:bookmarkStart w:id="26" w:name="_Toc187401976"/>
      <w:bookmarkStart w:id="27" w:name="_Toc187651971"/>
      <w:bookmarkStart w:id="28" w:name="_Toc187652037"/>
      <w:bookmarkStart w:id="29" w:name="_Toc186198830"/>
      <w:bookmarkStart w:id="30" w:name="_Toc187231317"/>
      <w:bookmarkStart w:id="31" w:name="_Toc187308044"/>
      <w:bookmarkStart w:id="32" w:name="_Toc187332359"/>
      <w:bookmarkStart w:id="33" w:name="_Toc187401977"/>
      <w:bookmarkStart w:id="34" w:name="_Toc187651972"/>
      <w:bookmarkStart w:id="35" w:name="_Toc187652038"/>
      <w:bookmarkStart w:id="36" w:name="_Toc186198831"/>
      <w:bookmarkStart w:id="37" w:name="_Toc187231318"/>
      <w:bookmarkStart w:id="38" w:name="_Toc187308045"/>
      <w:bookmarkStart w:id="39" w:name="_Toc187332360"/>
      <w:bookmarkStart w:id="40" w:name="_Toc187401978"/>
      <w:bookmarkStart w:id="41" w:name="_Toc187651973"/>
      <w:bookmarkStart w:id="42" w:name="_Toc187652039"/>
      <w:bookmarkStart w:id="43" w:name="_Toc186198832"/>
      <w:bookmarkStart w:id="44" w:name="_Toc187231319"/>
      <w:bookmarkStart w:id="45" w:name="_Toc187308046"/>
      <w:bookmarkStart w:id="46" w:name="_Toc187332361"/>
      <w:bookmarkStart w:id="47" w:name="_Toc187401979"/>
      <w:bookmarkStart w:id="48" w:name="_Toc187651974"/>
      <w:bookmarkStart w:id="49" w:name="_Toc187652040"/>
      <w:bookmarkStart w:id="50" w:name="_Toc186198833"/>
      <w:bookmarkStart w:id="51" w:name="_Toc187231320"/>
      <w:bookmarkStart w:id="52" w:name="_Toc187308047"/>
      <w:bookmarkStart w:id="53" w:name="_Toc187332362"/>
      <w:bookmarkStart w:id="54" w:name="_Toc187401980"/>
      <w:bookmarkStart w:id="55" w:name="_Toc187651975"/>
      <w:bookmarkStart w:id="56" w:name="_Toc187652041"/>
      <w:bookmarkStart w:id="57" w:name="_Toc186198834"/>
      <w:bookmarkStart w:id="58" w:name="_Toc187231321"/>
      <w:bookmarkStart w:id="59" w:name="_Toc187308048"/>
      <w:bookmarkStart w:id="60" w:name="_Toc187332363"/>
      <w:bookmarkStart w:id="61" w:name="_Toc187401981"/>
      <w:bookmarkStart w:id="62" w:name="_Toc187651976"/>
      <w:bookmarkStart w:id="63" w:name="_Toc187652042"/>
      <w:bookmarkStart w:id="64" w:name="_Toc186198835"/>
      <w:bookmarkStart w:id="65" w:name="_Toc187231322"/>
      <w:bookmarkStart w:id="66" w:name="_Toc187308049"/>
      <w:bookmarkStart w:id="67" w:name="_Toc187332364"/>
      <w:bookmarkStart w:id="68" w:name="_Toc187401982"/>
      <w:bookmarkStart w:id="69" w:name="_Toc187651977"/>
      <w:bookmarkStart w:id="70" w:name="_Toc187652043"/>
      <w:bookmarkStart w:id="71" w:name="_Toc186198836"/>
      <w:bookmarkStart w:id="72" w:name="_Toc187231323"/>
      <w:bookmarkStart w:id="73" w:name="_Toc187308050"/>
      <w:bookmarkStart w:id="74" w:name="_Toc187332365"/>
      <w:bookmarkStart w:id="75" w:name="_Toc187401983"/>
      <w:bookmarkStart w:id="76" w:name="_Toc187651978"/>
      <w:bookmarkStart w:id="77" w:name="_Toc187652044"/>
      <w:bookmarkStart w:id="78" w:name="_Toc186198837"/>
      <w:bookmarkStart w:id="79" w:name="_Toc187231324"/>
      <w:bookmarkStart w:id="80" w:name="_Toc187308051"/>
      <w:bookmarkStart w:id="81" w:name="_Toc187332366"/>
      <w:bookmarkStart w:id="82" w:name="_Toc187401984"/>
      <w:bookmarkStart w:id="83" w:name="_Toc187651979"/>
      <w:bookmarkStart w:id="84" w:name="_Toc187652045"/>
      <w:bookmarkStart w:id="85" w:name="_Toc186198838"/>
      <w:bookmarkStart w:id="86" w:name="_Toc187231325"/>
      <w:bookmarkStart w:id="87" w:name="_Toc187308052"/>
      <w:bookmarkStart w:id="88" w:name="_Toc187332367"/>
      <w:bookmarkStart w:id="89" w:name="_Toc187401985"/>
      <w:bookmarkStart w:id="90" w:name="_Toc187651980"/>
      <w:bookmarkStart w:id="91" w:name="_Toc187652046"/>
      <w:bookmarkStart w:id="92" w:name="_Toc186198839"/>
      <w:bookmarkStart w:id="93" w:name="_Toc187231326"/>
      <w:bookmarkStart w:id="94" w:name="_Toc187308053"/>
      <w:bookmarkStart w:id="95" w:name="_Toc187332368"/>
      <w:bookmarkStart w:id="96" w:name="_Toc187401986"/>
      <w:bookmarkStart w:id="97" w:name="_Toc187651981"/>
      <w:bookmarkStart w:id="98" w:name="_Toc187652047"/>
      <w:bookmarkStart w:id="99" w:name="_Toc186198840"/>
      <w:bookmarkStart w:id="100" w:name="_Toc187231327"/>
      <w:bookmarkStart w:id="101" w:name="_Toc187308054"/>
      <w:bookmarkStart w:id="102" w:name="_Toc187332369"/>
      <w:bookmarkStart w:id="103" w:name="_Toc187401987"/>
      <w:bookmarkStart w:id="104" w:name="_Toc187651982"/>
      <w:bookmarkStart w:id="105" w:name="_Toc187652048"/>
      <w:bookmarkStart w:id="106" w:name="_Toc186198841"/>
      <w:bookmarkStart w:id="107" w:name="_Toc187231328"/>
      <w:bookmarkStart w:id="108" w:name="_Toc187308055"/>
      <w:bookmarkStart w:id="109" w:name="_Toc187332370"/>
      <w:bookmarkStart w:id="110" w:name="_Toc187401988"/>
      <w:bookmarkStart w:id="111" w:name="_Toc187651983"/>
      <w:bookmarkStart w:id="112" w:name="_Toc187652049"/>
      <w:bookmarkStart w:id="113" w:name="_Toc186198842"/>
      <w:bookmarkStart w:id="114" w:name="_Toc187231329"/>
      <w:bookmarkStart w:id="115" w:name="_Toc187308056"/>
      <w:bookmarkStart w:id="116" w:name="_Toc187332371"/>
      <w:bookmarkStart w:id="117" w:name="_Toc187401989"/>
      <w:bookmarkStart w:id="118" w:name="_Toc187651984"/>
      <w:bookmarkStart w:id="119" w:name="_Toc187652050"/>
      <w:bookmarkStart w:id="120" w:name="_Toc186198843"/>
      <w:bookmarkStart w:id="121" w:name="_Toc187231330"/>
      <w:bookmarkStart w:id="122" w:name="_Toc187308057"/>
      <w:bookmarkStart w:id="123" w:name="_Toc187332372"/>
      <w:bookmarkStart w:id="124" w:name="_Toc187401990"/>
      <w:bookmarkStart w:id="125" w:name="_Toc187651985"/>
      <w:bookmarkStart w:id="126" w:name="_Toc187652051"/>
      <w:bookmarkStart w:id="127" w:name="_Toc186198844"/>
      <w:bookmarkStart w:id="128" w:name="_Toc187231331"/>
      <w:bookmarkStart w:id="129" w:name="_Toc187308058"/>
      <w:bookmarkStart w:id="130" w:name="_Toc187332373"/>
      <w:bookmarkStart w:id="131" w:name="_Toc187401991"/>
      <w:bookmarkStart w:id="132" w:name="_Toc187651986"/>
      <w:bookmarkStart w:id="133" w:name="_Toc187652052"/>
      <w:bookmarkStart w:id="134" w:name="_Toc186198845"/>
      <w:bookmarkStart w:id="135" w:name="_Toc187231332"/>
      <w:bookmarkStart w:id="136" w:name="_Toc187308059"/>
      <w:bookmarkStart w:id="137" w:name="_Toc187332374"/>
      <w:bookmarkStart w:id="138" w:name="_Toc187401992"/>
      <w:bookmarkStart w:id="139" w:name="_Toc187651987"/>
      <w:bookmarkStart w:id="140" w:name="_Toc187652053"/>
      <w:bookmarkStart w:id="141" w:name="_Toc186198846"/>
      <w:bookmarkStart w:id="142" w:name="_Toc187231333"/>
      <w:bookmarkStart w:id="143" w:name="_Toc187308060"/>
      <w:bookmarkStart w:id="144" w:name="_Toc187332375"/>
      <w:bookmarkStart w:id="145" w:name="_Toc187401993"/>
      <w:bookmarkStart w:id="146" w:name="_Toc187651988"/>
      <w:bookmarkStart w:id="147" w:name="_Toc187652054"/>
      <w:bookmarkStart w:id="148" w:name="_Toc186198847"/>
      <w:bookmarkStart w:id="149" w:name="_Toc187231334"/>
      <w:bookmarkStart w:id="150" w:name="_Toc187308061"/>
      <w:bookmarkStart w:id="151" w:name="_Toc187332376"/>
      <w:bookmarkStart w:id="152" w:name="_Toc187401994"/>
      <w:bookmarkStart w:id="153" w:name="_Toc187651989"/>
      <w:bookmarkStart w:id="154" w:name="_Toc187652055"/>
      <w:bookmarkStart w:id="155" w:name="_Toc186198848"/>
      <w:bookmarkStart w:id="156" w:name="_Toc187231335"/>
      <w:bookmarkStart w:id="157" w:name="_Toc187308062"/>
      <w:bookmarkStart w:id="158" w:name="_Toc187332377"/>
      <w:bookmarkStart w:id="159" w:name="_Toc187401995"/>
      <w:bookmarkStart w:id="160" w:name="_Toc187651990"/>
      <w:bookmarkStart w:id="161" w:name="_Toc187652056"/>
      <w:bookmarkStart w:id="162" w:name="_Toc186198849"/>
      <w:bookmarkStart w:id="163" w:name="_Toc187231336"/>
      <w:bookmarkStart w:id="164" w:name="_Toc187308063"/>
      <w:bookmarkStart w:id="165" w:name="_Toc187332378"/>
      <w:bookmarkStart w:id="166" w:name="_Toc187401996"/>
      <w:bookmarkStart w:id="167" w:name="_Toc187651991"/>
      <w:bookmarkStart w:id="168" w:name="_Toc187652057"/>
      <w:bookmarkStart w:id="169" w:name="_Toc186198850"/>
      <w:bookmarkStart w:id="170" w:name="_Toc187231337"/>
      <w:bookmarkStart w:id="171" w:name="_Toc187308064"/>
      <w:bookmarkStart w:id="172" w:name="_Toc187332379"/>
      <w:bookmarkStart w:id="173" w:name="_Toc187401997"/>
      <w:bookmarkStart w:id="174" w:name="_Toc187651992"/>
      <w:bookmarkStart w:id="175" w:name="_Toc187652058"/>
      <w:bookmarkStart w:id="176" w:name="_Toc186198851"/>
      <w:bookmarkStart w:id="177" w:name="_Toc187231338"/>
      <w:bookmarkStart w:id="178" w:name="_Toc187308065"/>
      <w:bookmarkStart w:id="179" w:name="_Toc187332380"/>
      <w:bookmarkStart w:id="180" w:name="_Toc187401998"/>
      <w:bookmarkStart w:id="181" w:name="_Toc187651993"/>
      <w:bookmarkStart w:id="182" w:name="_Toc187652059"/>
      <w:bookmarkStart w:id="183" w:name="_Toc186198852"/>
      <w:bookmarkStart w:id="184" w:name="_Toc187231339"/>
      <w:bookmarkStart w:id="185" w:name="_Toc187308066"/>
      <w:bookmarkStart w:id="186" w:name="_Toc187332381"/>
      <w:bookmarkStart w:id="187" w:name="_Toc187401999"/>
      <w:bookmarkStart w:id="188" w:name="_Toc187651994"/>
      <w:bookmarkStart w:id="189" w:name="_Toc187652060"/>
      <w:bookmarkStart w:id="190" w:name="_Toc186198853"/>
      <w:bookmarkStart w:id="191" w:name="_Toc187231340"/>
      <w:bookmarkStart w:id="192" w:name="_Toc187308067"/>
      <w:bookmarkStart w:id="193" w:name="_Toc187332382"/>
      <w:bookmarkStart w:id="194" w:name="_Toc187402000"/>
      <w:bookmarkStart w:id="195" w:name="_Toc187651995"/>
      <w:bookmarkStart w:id="196" w:name="_Toc187652061"/>
      <w:bookmarkStart w:id="197" w:name="_Toc186198854"/>
      <w:bookmarkStart w:id="198" w:name="_Toc187231341"/>
      <w:bookmarkStart w:id="199" w:name="_Toc187308068"/>
      <w:bookmarkStart w:id="200" w:name="_Toc187332383"/>
      <w:bookmarkStart w:id="201" w:name="_Toc187402001"/>
      <w:bookmarkStart w:id="202" w:name="_Toc187651996"/>
      <w:bookmarkStart w:id="203" w:name="_Toc187652062"/>
      <w:bookmarkStart w:id="204" w:name="_Toc186198855"/>
      <w:bookmarkStart w:id="205" w:name="_Toc187231342"/>
      <w:bookmarkStart w:id="206" w:name="_Toc187308069"/>
      <w:bookmarkStart w:id="207" w:name="_Toc187332384"/>
      <w:bookmarkStart w:id="208" w:name="_Toc187402002"/>
      <w:bookmarkStart w:id="209" w:name="_Toc187651997"/>
      <w:bookmarkStart w:id="210" w:name="_Toc187652063"/>
      <w:bookmarkStart w:id="211" w:name="_Toc186198856"/>
      <w:bookmarkStart w:id="212" w:name="_Toc187231343"/>
      <w:bookmarkStart w:id="213" w:name="_Toc187308070"/>
      <w:bookmarkStart w:id="214" w:name="_Toc187332385"/>
      <w:bookmarkStart w:id="215" w:name="_Toc187402003"/>
      <w:bookmarkStart w:id="216" w:name="_Toc187651998"/>
      <w:bookmarkStart w:id="217" w:name="_Toc187652064"/>
      <w:bookmarkStart w:id="218" w:name="_Toc81499845"/>
      <w:bookmarkStart w:id="219" w:name="_Toc1882652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C4C49">
        <w:rPr>
          <w:sz w:val="28"/>
          <w:szCs w:val="28"/>
        </w:rPr>
        <w:t>Introduction</w:t>
      </w:r>
      <w:bookmarkEnd w:id="218"/>
      <w:bookmarkEnd w:id="219"/>
    </w:p>
    <w:p w14:paraId="791C0097" w14:textId="4CDD531E" w:rsidR="00A72123" w:rsidRPr="008C4C49" w:rsidRDefault="0022000E" w:rsidP="00DF0A30">
      <w:pPr>
        <w:pStyle w:val="Heading2"/>
        <w:rPr>
          <w:rFonts w:ascii="Arial" w:hAnsi="Arial" w:cs="Arial"/>
          <w:lang w:val="en-GB"/>
        </w:rPr>
      </w:pPr>
      <w:bookmarkStart w:id="220" w:name="_Toc495852825"/>
      <w:bookmarkStart w:id="221" w:name="_Toc81499846"/>
      <w:bookmarkStart w:id="222" w:name="_Toc188265298"/>
      <w:r>
        <w:rPr>
          <w:rFonts w:ascii="Arial" w:hAnsi="Arial" w:cs="Arial"/>
          <w:smallCaps w:val="0"/>
          <w:sz w:val="24"/>
          <w:szCs w:val="24"/>
          <w:lang w:val="en-GB"/>
        </w:rPr>
        <w:t>Guidance</w:t>
      </w:r>
      <w:r w:rsidR="00A72123" w:rsidRPr="008C4C49">
        <w:rPr>
          <w:rFonts w:ascii="Arial" w:hAnsi="Arial" w:cs="Arial"/>
          <w:smallCaps w:val="0"/>
          <w:sz w:val="24"/>
          <w:szCs w:val="24"/>
          <w:lang w:val="en-GB"/>
        </w:rPr>
        <w:t xml:space="preserve"> statement</w:t>
      </w:r>
      <w:bookmarkEnd w:id="220"/>
      <w:bookmarkEnd w:id="221"/>
      <w:bookmarkEnd w:id="222"/>
    </w:p>
    <w:p w14:paraId="289800AC" w14:textId="77777777" w:rsidR="00E914E5" w:rsidRPr="008C4C49" w:rsidRDefault="00E914E5" w:rsidP="00447440">
      <w:pPr>
        <w:rPr>
          <w:rFonts w:ascii="Arial" w:hAnsi="Arial" w:cs="Arial"/>
          <w:sz w:val="22"/>
          <w:szCs w:val="22"/>
        </w:rPr>
      </w:pPr>
      <w:bookmarkStart w:id="223" w:name="_Toc495852826"/>
    </w:p>
    <w:p w14:paraId="21CD11E6" w14:textId="1934CEF8" w:rsidR="0022000E" w:rsidRPr="0022000E" w:rsidRDefault="0022000E" w:rsidP="0022000E">
      <w:pPr>
        <w:rPr>
          <w:rFonts w:ascii="Arial" w:eastAsia="Arial" w:hAnsi="Arial" w:cs="Arial"/>
          <w:sz w:val="22"/>
          <w:szCs w:val="22"/>
        </w:rPr>
      </w:pPr>
      <w:bookmarkStart w:id="224" w:name="_Toc187231346"/>
      <w:bookmarkStart w:id="225" w:name="_Toc187308073"/>
      <w:bookmarkStart w:id="226" w:name="_Toc187332388"/>
      <w:bookmarkStart w:id="227" w:name="_Toc187402006"/>
      <w:bookmarkStart w:id="228" w:name="_Toc187652001"/>
      <w:bookmarkStart w:id="229" w:name="_Toc187652067"/>
      <w:bookmarkStart w:id="230" w:name="_Toc76023635"/>
      <w:bookmarkStart w:id="231" w:name="_Toc76023699"/>
      <w:bookmarkStart w:id="232" w:name="_Toc76376027"/>
      <w:bookmarkStart w:id="233" w:name="_Toc76377247"/>
      <w:bookmarkStart w:id="234" w:name="_Toc76377309"/>
      <w:bookmarkStart w:id="235" w:name="_Toc76378415"/>
      <w:bookmarkStart w:id="236" w:name="_Toc76023636"/>
      <w:bookmarkStart w:id="237" w:name="_Toc76023700"/>
      <w:bookmarkStart w:id="238" w:name="_Toc76376028"/>
      <w:bookmarkStart w:id="239" w:name="_Toc76377248"/>
      <w:bookmarkStart w:id="240" w:name="_Toc76377310"/>
      <w:bookmarkStart w:id="241" w:name="_Toc76378416"/>
      <w:bookmarkStart w:id="242" w:name="_Toc495852828"/>
      <w:bookmarkStart w:id="243" w:name="_Toc8149984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2000E">
        <w:rPr>
          <w:rFonts w:ascii="Arial" w:eastAsia="Arial" w:hAnsi="Arial" w:cs="Arial"/>
          <w:sz w:val="22"/>
          <w:szCs w:val="22"/>
        </w:rPr>
        <w:t>It is the responsibility of all staff at this organisation to ensure that they recognise, respond to and take the necessary actions when dealing with any acutely unwell patients. It remains the responsibility of the practice management team to ensure that all staff have undertaken the necessary training to be able to recognise and manage acutely unwell patients.</w:t>
      </w:r>
    </w:p>
    <w:p w14:paraId="533456C1" w14:textId="77777777" w:rsidR="0022000E" w:rsidRPr="0022000E" w:rsidRDefault="0022000E" w:rsidP="0022000E">
      <w:pPr>
        <w:rPr>
          <w:rFonts w:ascii="Arial" w:eastAsia="Arial" w:hAnsi="Arial" w:cs="Arial"/>
          <w:sz w:val="22"/>
          <w:szCs w:val="22"/>
        </w:rPr>
      </w:pPr>
    </w:p>
    <w:p w14:paraId="19F11EC7" w14:textId="77777777" w:rsidR="0022000E" w:rsidRPr="0022000E" w:rsidRDefault="0022000E" w:rsidP="0022000E">
      <w:pPr>
        <w:rPr>
          <w:rFonts w:ascii="Arial" w:eastAsia="Arial" w:hAnsi="Arial" w:cs="Arial"/>
          <w:sz w:val="22"/>
          <w:szCs w:val="22"/>
        </w:rPr>
      </w:pPr>
      <w:r w:rsidRPr="0022000E">
        <w:rPr>
          <w:rFonts w:ascii="Arial" w:eastAsia="Arial" w:hAnsi="Arial" w:cs="Arial"/>
          <w:sz w:val="22"/>
          <w:szCs w:val="22"/>
        </w:rPr>
        <w:t>All staff must be aware of sepsis and be able to demonstrate how an acutely unwell or deteriorating patient is managed before and during an appointment, including any ongoing referral or care.</w:t>
      </w:r>
    </w:p>
    <w:p w14:paraId="52368B03" w14:textId="77777777" w:rsidR="0022000E" w:rsidRPr="0022000E" w:rsidRDefault="0022000E" w:rsidP="0022000E">
      <w:pPr>
        <w:rPr>
          <w:rFonts w:ascii="Arial" w:eastAsia="Arial" w:hAnsi="Arial" w:cs="Arial"/>
          <w:sz w:val="22"/>
          <w:szCs w:val="22"/>
        </w:rPr>
      </w:pPr>
    </w:p>
    <w:p w14:paraId="117FE050" w14:textId="6C43493A" w:rsidR="0022000E" w:rsidRPr="0022000E" w:rsidRDefault="0022000E" w:rsidP="0022000E">
      <w:pPr>
        <w:rPr>
          <w:rFonts w:ascii="Arial" w:eastAsia="Arial" w:hAnsi="Arial" w:cs="Arial"/>
          <w:sz w:val="22"/>
          <w:szCs w:val="22"/>
        </w:rPr>
      </w:pPr>
      <w:r w:rsidRPr="0022000E">
        <w:rPr>
          <w:rFonts w:ascii="Arial" w:eastAsia="Arial" w:hAnsi="Arial" w:cs="Arial"/>
          <w:sz w:val="22"/>
          <w:szCs w:val="22"/>
        </w:rPr>
        <w:t xml:space="preserve">This guidance can be read in conjunction with </w:t>
      </w:r>
      <w:hyperlink r:id="rId8" w:anchor="identifying-people-with-suspected-sepsis">
        <w:r w:rsidRPr="0022000E">
          <w:rPr>
            <w:rFonts w:ascii="Arial" w:eastAsia="Arial" w:hAnsi="Arial" w:cs="Arial"/>
            <w:color w:val="0563C1"/>
            <w:sz w:val="22"/>
            <w:szCs w:val="22"/>
            <w:u w:val="single"/>
          </w:rPr>
          <w:t>NICE Guideline NG51 Sepsis: recognition, diagnosis and early management</w:t>
        </w:r>
      </w:hyperlink>
      <w:r w:rsidRPr="0022000E">
        <w:rPr>
          <w:rFonts w:ascii="Arial" w:eastAsia="Arial" w:hAnsi="Arial" w:cs="Arial"/>
          <w:sz w:val="22"/>
          <w:szCs w:val="22"/>
        </w:rPr>
        <w:t xml:space="preserve"> and the following resources </w:t>
      </w:r>
      <w:r w:rsidR="003F4D2F">
        <w:rPr>
          <w:rFonts w:ascii="Arial" w:eastAsia="Arial" w:hAnsi="Arial" w:cs="Arial"/>
          <w:sz w:val="22"/>
          <w:szCs w:val="22"/>
        </w:rPr>
        <w:t>that</w:t>
      </w:r>
      <w:r w:rsidRPr="0022000E">
        <w:rPr>
          <w:rFonts w:ascii="Arial" w:eastAsia="Arial" w:hAnsi="Arial" w:cs="Arial"/>
          <w:sz w:val="22"/>
          <w:szCs w:val="22"/>
        </w:rPr>
        <w:t xml:space="preserve"> are referenced throughout this document:</w:t>
      </w:r>
    </w:p>
    <w:p w14:paraId="71CD17F4" w14:textId="77777777" w:rsidR="0022000E" w:rsidRPr="0022000E" w:rsidRDefault="0022000E" w:rsidP="0022000E">
      <w:pPr>
        <w:rPr>
          <w:rFonts w:ascii="Arial" w:eastAsia="Arial" w:hAnsi="Arial" w:cs="Arial"/>
          <w:sz w:val="22"/>
          <w:szCs w:val="22"/>
        </w:rPr>
      </w:pPr>
    </w:p>
    <w:p w14:paraId="641CE300" w14:textId="4C996864" w:rsidR="0022000E" w:rsidRPr="0022000E" w:rsidRDefault="0022000E" w:rsidP="0022000E">
      <w:pPr>
        <w:numPr>
          <w:ilvl w:val="0"/>
          <w:numId w:val="10"/>
        </w:numPr>
        <w:pBdr>
          <w:top w:val="nil"/>
          <w:left w:val="nil"/>
          <w:bottom w:val="nil"/>
          <w:right w:val="nil"/>
          <w:between w:val="nil"/>
        </w:pBdr>
        <w:rPr>
          <w:rFonts w:ascii="Arial" w:eastAsia="Arial" w:hAnsi="Arial" w:cs="Arial"/>
          <w:color w:val="000000"/>
          <w:sz w:val="22"/>
          <w:szCs w:val="22"/>
        </w:rPr>
      </w:pPr>
      <w:hyperlink r:id="rId9">
        <w:r w:rsidRPr="0022000E">
          <w:rPr>
            <w:rFonts w:ascii="Arial" w:eastAsia="Arial" w:hAnsi="Arial" w:cs="Arial"/>
            <w:color w:val="0563C1"/>
            <w:sz w:val="22"/>
            <w:szCs w:val="22"/>
            <w:u w:val="single"/>
          </w:rPr>
          <w:t xml:space="preserve">CQC GP </w:t>
        </w:r>
        <w:r w:rsidR="003F4D2F">
          <w:rPr>
            <w:rFonts w:ascii="Arial" w:eastAsia="Arial" w:hAnsi="Arial" w:cs="Arial"/>
            <w:color w:val="0563C1"/>
            <w:sz w:val="22"/>
            <w:szCs w:val="22"/>
            <w:u w:val="single"/>
          </w:rPr>
          <w:t>m</w:t>
        </w:r>
        <w:r w:rsidRPr="0022000E">
          <w:rPr>
            <w:rFonts w:ascii="Arial" w:eastAsia="Arial" w:hAnsi="Arial" w:cs="Arial"/>
            <w:color w:val="0563C1"/>
            <w:sz w:val="22"/>
            <w:szCs w:val="22"/>
            <w:u w:val="single"/>
          </w:rPr>
          <w:t>ythbuster 88: Identifying and responding to sepsis</w:t>
        </w:r>
      </w:hyperlink>
      <w:r w:rsidRPr="0022000E">
        <w:rPr>
          <w:rFonts w:ascii="Arial" w:eastAsia="Arial" w:hAnsi="Arial" w:cs="Arial"/>
          <w:color w:val="0563C1"/>
          <w:sz w:val="22"/>
          <w:szCs w:val="22"/>
          <w:u w:val="single"/>
        </w:rPr>
        <w:t xml:space="preserve"> </w:t>
      </w:r>
      <w:r w:rsidRPr="0022000E">
        <w:rPr>
          <w:rFonts w:ascii="Arial" w:eastAsia="Arial" w:hAnsi="Arial" w:cs="Arial"/>
          <w:color w:val="000000"/>
          <w:sz w:val="22"/>
          <w:szCs w:val="22"/>
        </w:rPr>
        <w:t xml:space="preserve"> </w:t>
      </w:r>
    </w:p>
    <w:p w14:paraId="433D5E7A" w14:textId="77777777" w:rsidR="0022000E" w:rsidRPr="0022000E" w:rsidRDefault="0022000E" w:rsidP="0022000E">
      <w:pPr>
        <w:numPr>
          <w:ilvl w:val="0"/>
          <w:numId w:val="10"/>
        </w:numPr>
        <w:pBdr>
          <w:top w:val="nil"/>
          <w:left w:val="nil"/>
          <w:bottom w:val="nil"/>
          <w:right w:val="nil"/>
          <w:between w:val="nil"/>
        </w:pBdr>
        <w:rPr>
          <w:rFonts w:ascii="Arial" w:eastAsia="Arial" w:hAnsi="Arial" w:cs="Arial"/>
          <w:color w:val="000000"/>
          <w:sz w:val="22"/>
          <w:szCs w:val="22"/>
        </w:rPr>
      </w:pPr>
      <w:hyperlink r:id="rId10">
        <w:r w:rsidRPr="0022000E">
          <w:rPr>
            <w:rFonts w:ascii="Arial" w:eastAsia="Arial" w:hAnsi="Arial" w:cs="Arial"/>
            <w:color w:val="0563C1"/>
            <w:sz w:val="22"/>
            <w:szCs w:val="22"/>
            <w:u w:val="single"/>
          </w:rPr>
          <w:t>NHS Sepsis webpage</w:t>
        </w:r>
      </w:hyperlink>
    </w:p>
    <w:p w14:paraId="245E423E" w14:textId="77777777" w:rsidR="0022000E" w:rsidRPr="0022000E" w:rsidRDefault="0022000E" w:rsidP="0022000E">
      <w:pPr>
        <w:numPr>
          <w:ilvl w:val="0"/>
          <w:numId w:val="10"/>
        </w:numPr>
        <w:pBdr>
          <w:top w:val="nil"/>
          <w:left w:val="nil"/>
          <w:bottom w:val="nil"/>
          <w:right w:val="nil"/>
          <w:between w:val="nil"/>
        </w:pBdr>
        <w:rPr>
          <w:rFonts w:ascii="Arial" w:eastAsia="Arial" w:hAnsi="Arial" w:cs="Arial"/>
          <w:color w:val="000000"/>
          <w:sz w:val="22"/>
          <w:szCs w:val="22"/>
        </w:rPr>
      </w:pPr>
      <w:hyperlink r:id="rId11">
        <w:r w:rsidRPr="0022000E">
          <w:rPr>
            <w:rFonts w:ascii="Arial" w:eastAsia="Arial" w:hAnsi="Arial" w:cs="Arial"/>
            <w:color w:val="0563C1"/>
            <w:sz w:val="22"/>
            <w:szCs w:val="22"/>
            <w:u w:val="single"/>
          </w:rPr>
          <w:t>NICE NG51 Sepsis: Risk stratification tools</w:t>
        </w:r>
      </w:hyperlink>
    </w:p>
    <w:p w14:paraId="4F2008C8" w14:textId="77777777" w:rsidR="0022000E" w:rsidRPr="0022000E" w:rsidRDefault="0022000E" w:rsidP="0022000E">
      <w:pPr>
        <w:rPr>
          <w:rFonts w:ascii="Arial" w:eastAsia="Arial" w:hAnsi="Arial" w:cs="Arial"/>
          <w:color w:val="000000"/>
          <w:sz w:val="22"/>
          <w:szCs w:val="22"/>
        </w:rPr>
      </w:pPr>
    </w:p>
    <w:p w14:paraId="018F180D" w14:textId="1B287A46" w:rsidR="0022000E" w:rsidRDefault="0022000E" w:rsidP="0022000E">
      <w:pPr>
        <w:rPr>
          <w:rFonts w:ascii="Arial" w:eastAsia="Arial" w:hAnsi="Arial" w:cs="Arial"/>
          <w:sz w:val="22"/>
          <w:szCs w:val="22"/>
        </w:rPr>
      </w:pPr>
      <w:r w:rsidRPr="0022000E">
        <w:rPr>
          <w:rFonts w:ascii="Arial" w:eastAsia="Arial" w:hAnsi="Arial" w:cs="Arial"/>
          <w:color w:val="000000"/>
          <w:sz w:val="22"/>
          <w:szCs w:val="22"/>
        </w:rPr>
        <w:t xml:space="preserve">Supporting information is available within the organisation’s </w:t>
      </w:r>
      <w:r w:rsidRPr="0022000E">
        <w:rPr>
          <w:rFonts w:ascii="Arial" w:eastAsia="Arial" w:hAnsi="Arial" w:cs="Arial"/>
          <w:sz w:val="22"/>
          <w:szCs w:val="22"/>
        </w:rPr>
        <w:t>Medical Emergencies Guidance Document</w:t>
      </w:r>
      <w:r w:rsidRPr="0022000E">
        <w:rPr>
          <w:rFonts w:ascii="Arial" w:eastAsia="Arial" w:hAnsi="Arial" w:cs="Arial"/>
          <w:color w:val="000000"/>
          <w:sz w:val="22"/>
          <w:szCs w:val="22"/>
        </w:rPr>
        <w:t>. F</w:t>
      </w:r>
      <w:r w:rsidRPr="0022000E">
        <w:rPr>
          <w:rFonts w:ascii="Arial" w:eastAsia="Arial" w:hAnsi="Arial" w:cs="Arial"/>
          <w:sz w:val="22"/>
          <w:szCs w:val="22"/>
        </w:rPr>
        <w:t>urthermore, the sepsis poster has been placed throughout the practice which details the common symptoms of sepsis.</w:t>
      </w:r>
      <w:bookmarkStart w:id="244" w:name="bookmark=id.1fob9te" w:colFirst="0" w:colLast="0"/>
      <w:bookmarkEnd w:id="244"/>
      <w:r>
        <w:rPr>
          <w:rFonts w:ascii="Arial" w:eastAsia="Arial" w:hAnsi="Arial" w:cs="Arial"/>
          <w:sz w:val="22"/>
          <w:szCs w:val="22"/>
        </w:rPr>
        <w:t xml:space="preserve"> </w:t>
      </w:r>
    </w:p>
    <w:p w14:paraId="1449EC51" w14:textId="77777777" w:rsidR="00A72123" w:rsidRPr="008C4C49" w:rsidRDefault="00A72123" w:rsidP="00DF0A30">
      <w:pPr>
        <w:pStyle w:val="Heading2"/>
        <w:rPr>
          <w:rFonts w:ascii="Arial" w:hAnsi="Arial" w:cs="Arial"/>
          <w:lang w:val="en-GB"/>
        </w:rPr>
      </w:pPr>
      <w:bookmarkStart w:id="245" w:name="_Toc188265299"/>
      <w:r w:rsidRPr="008C4C49">
        <w:rPr>
          <w:rFonts w:ascii="Arial" w:hAnsi="Arial" w:cs="Arial"/>
          <w:smallCaps w:val="0"/>
          <w:sz w:val="24"/>
          <w:szCs w:val="24"/>
          <w:lang w:val="en-GB"/>
        </w:rPr>
        <w:t>Status</w:t>
      </w:r>
      <w:bookmarkEnd w:id="242"/>
      <w:bookmarkEnd w:id="243"/>
      <w:bookmarkEnd w:id="245"/>
    </w:p>
    <w:p w14:paraId="558899AB" w14:textId="6D034B21" w:rsidR="00275E4A" w:rsidRPr="008C4C49" w:rsidRDefault="00275E4A" w:rsidP="002507DA">
      <w:pPr>
        <w:widowControl w:val="0"/>
        <w:rPr>
          <w:rFonts w:ascii="Arial" w:hAnsi="Arial" w:cs="Arial"/>
          <w:sz w:val="22"/>
          <w:szCs w:val="22"/>
        </w:rPr>
      </w:pPr>
      <w:bookmarkStart w:id="246" w:name="_Toc76023638"/>
      <w:bookmarkStart w:id="247" w:name="_Toc76023702"/>
      <w:bookmarkStart w:id="248" w:name="_Toc76376030"/>
      <w:bookmarkStart w:id="249" w:name="_Toc76377250"/>
      <w:bookmarkStart w:id="250" w:name="_Toc76377312"/>
      <w:bookmarkStart w:id="251" w:name="_Toc76378418"/>
      <w:bookmarkStart w:id="252" w:name="_Toc76023639"/>
      <w:bookmarkStart w:id="253" w:name="_Toc76023703"/>
      <w:bookmarkStart w:id="254" w:name="_Toc76376031"/>
      <w:bookmarkStart w:id="255" w:name="_Toc76377251"/>
      <w:bookmarkStart w:id="256" w:name="_Toc76377313"/>
      <w:bookmarkStart w:id="257" w:name="_Toc76378419"/>
      <w:bookmarkStart w:id="258" w:name="_Toc76023645"/>
      <w:bookmarkStart w:id="259" w:name="_Toc76023709"/>
      <w:bookmarkStart w:id="260" w:name="_Toc76376037"/>
      <w:bookmarkStart w:id="261" w:name="_Toc76377257"/>
      <w:bookmarkStart w:id="262" w:name="_Toc76377319"/>
      <w:bookmarkStart w:id="263" w:name="_Toc76378425"/>
      <w:bookmarkStart w:id="264" w:name="_Toc8149985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FEC76F7" w14:textId="77777777" w:rsidR="001A743D" w:rsidRPr="008C4C49" w:rsidRDefault="00275E4A" w:rsidP="00275E4A">
      <w:pPr>
        <w:rPr>
          <w:rFonts w:ascii="Arial" w:hAnsi="Arial" w:cs="Arial"/>
          <w:sz w:val="22"/>
          <w:szCs w:val="22"/>
        </w:rPr>
      </w:pPr>
      <w:r w:rsidRPr="008C4C49">
        <w:rPr>
          <w:rFonts w:ascii="Arial" w:hAnsi="Arial" w:cs="Arial"/>
          <w:sz w:val="22"/>
          <w:szCs w:val="22"/>
        </w:rPr>
        <w:t xml:space="preserve">In accordance with the </w:t>
      </w:r>
      <w:hyperlink r:id="rId12" w:history="1">
        <w:r w:rsidRPr="008C4C49">
          <w:rPr>
            <w:rStyle w:val="Hyperlink"/>
            <w:rFonts w:ascii="Arial" w:eastAsiaTheme="majorEastAsia" w:hAnsi="Arial" w:cs="Arial"/>
            <w:sz w:val="22"/>
            <w:szCs w:val="22"/>
          </w:rPr>
          <w:t>Equality Act 2010</w:t>
        </w:r>
      </w:hyperlink>
      <w:r w:rsidRPr="008C4C49">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7402EC97" w:rsidR="001A743D" w:rsidRPr="008C4C49" w:rsidRDefault="0022000E" w:rsidP="001A743D">
      <w:pPr>
        <w:pStyle w:val="Heading1"/>
        <w:keepLines/>
        <w:pBdr>
          <w:bottom w:val="single" w:sz="4" w:space="1" w:color="595959" w:themeColor="text1" w:themeTint="A6"/>
        </w:pBdr>
        <w:spacing w:before="360" w:after="160" w:line="259" w:lineRule="auto"/>
        <w:rPr>
          <w:sz w:val="28"/>
          <w:szCs w:val="28"/>
        </w:rPr>
      </w:pPr>
      <w:bookmarkStart w:id="265" w:name="_Partners_and_partnerships"/>
      <w:bookmarkStart w:id="266" w:name="_Toc188265300"/>
      <w:bookmarkEnd w:id="265"/>
      <w:r>
        <w:rPr>
          <w:sz w:val="28"/>
          <w:szCs w:val="28"/>
        </w:rPr>
        <w:t>Managing sepsis in general practice</w:t>
      </w:r>
      <w:bookmarkEnd w:id="266"/>
    </w:p>
    <w:p w14:paraId="23C50C30" w14:textId="396146D8" w:rsidR="001F0A98" w:rsidRPr="008C4C49" w:rsidRDefault="0022000E" w:rsidP="001F0A98">
      <w:pPr>
        <w:pStyle w:val="Heading2"/>
        <w:rPr>
          <w:rFonts w:ascii="Arial" w:hAnsi="Arial" w:cs="Arial"/>
          <w:smallCaps w:val="0"/>
          <w:sz w:val="24"/>
          <w:szCs w:val="24"/>
          <w:lang w:val="en-GB"/>
        </w:rPr>
      </w:pPr>
      <w:bookmarkStart w:id="267" w:name="_Toc186189268"/>
      <w:bookmarkStart w:id="268" w:name="_Toc186189436"/>
      <w:bookmarkStart w:id="269" w:name="_Toc186198677"/>
      <w:bookmarkStart w:id="270" w:name="_Toc186198861"/>
      <w:bookmarkStart w:id="271" w:name="_Toc187231349"/>
      <w:bookmarkStart w:id="272" w:name="_Toc187308076"/>
      <w:bookmarkStart w:id="273" w:name="_Toc187332391"/>
      <w:bookmarkStart w:id="274" w:name="_Toc187402009"/>
      <w:bookmarkStart w:id="275" w:name="_Toc187652004"/>
      <w:bookmarkStart w:id="276" w:name="_Toc187652070"/>
      <w:bookmarkStart w:id="277" w:name="_Toc188265301"/>
      <w:bookmarkEnd w:id="267"/>
      <w:bookmarkEnd w:id="268"/>
      <w:bookmarkEnd w:id="269"/>
      <w:bookmarkEnd w:id="270"/>
      <w:bookmarkEnd w:id="271"/>
      <w:bookmarkEnd w:id="272"/>
      <w:bookmarkEnd w:id="273"/>
      <w:bookmarkEnd w:id="274"/>
      <w:bookmarkEnd w:id="275"/>
      <w:bookmarkEnd w:id="276"/>
      <w:r>
        <w:rPr>
          <w:rFonts w:ascii="Arial" w:hAnsi="Arial" w:cs="Arial"/>
          <w:smallCaps w:val="0"/>
          <w:sz w:val="24"/>
          <w:szCs w:val="24"/>
          <w:lang w:val="en-GB"/>
        </w:rPr>
        <w:t>Early diagnosis</w:t>
      </w:r>
      <w:bookmarkEnd w:id="277"/>
    </w:p>
    <w:p w14:paraId="623E49EE" w14:textId="77777777" w:rsidR="001F0A98" w:rsidRPr="008C4C49" w:rsidRDefault="001F0A98" w:rsidP="001F0A98">
      <w:pPr>
        <w:rPr>
          <w:rFonts w:eastAsiaTheme="majorEastAsia"/>
        </w:rPr>
      </w:pPr>
    </w:p>
    <w:bookmarkStart w:id="278" w:name="_Toc186189269"/>
    <w:bookmarkStart w:id="279" w:name="_Toc186189437"/>
    <w:bookmarkStart w:id="280" w:name="_Toc186198678"/>
    <w:bookmarkStart w:id="281" w:name="_Toc186198862"/>
    <w:bookmarkStart w:id="282" w:name="_Toc187231350"/>
    <w:bookmarkStart w:id="283" w:name="_Toc187308077"/>
    <w:bookmarkStart w:id="284" w:name="_Toc187332393"/>
    <w:bookmarkStart w:id="285" w:name="_Toc187402011"/>
    <w:bookmarkStart w:id="286" w:name="_Toc187652006"/>
    <w:bookmarkStart w:id="287" w:name="_Toc187652072"/>
    <w:bookmarkStart w:id="288" w:name="_Toc186189270"/>
    <w:bookmarkStart w:id="289" w:name="_Toc186189438"/>
    <w:bookmarkStart w:id="290" w:name="_Toc186198679"/>
    <w:bookmarkStart w:id="291" w:name="_Toc186198863"/>
    <w:bookmarkStart w:id="292" w:name="_Toc187231351"/>
    <w:bookmarkStart w:id="293" w:name="_Toc187308078"/>
    <w:bookmarkStart w:id="294" w:name="_Toc187332394"/>
    <w:bookmarkStart w:id="295" w:name="_Toc187402012"/>
    <w:bookmarkStart w:id="296" w:name="_Toc187652007"/>
    <w:bookmarkStart w:id="297" w:name="_Toc187652073"/>
    <w:bookmarkStart w:id="298" w:name="_Toc126064332"/>
    <w:bookmarkStart w:id="299" w:name="_Toc126660476"/>
    <w:bookmarkStart w:id="300" w:name="_Toc126660533"/>
    <w:bookmarkStart w:id="301" w:name="_Toc126661934"/>
    <w:bookmarkStart w:id="302" w:name="_Toc126064333"/>
    <w:bookmarkStart w:id="303" w:name="_Toc126660477"/>
    <w:bookmarkStart w:id="304" w:name="_Toc126660534"/>
    <w:bookmarkStart w:id="305" w:name="_Toc126661935"/>
    <w:bookmarkStart w:id="306" w:name="_Toc126064334"/>
    <w:bookmarkStart w:id="307" w:name="_Toc126660478"/>
    <w:bookmarkStart w:id="308" w:name="_Toc126660535"/>
    <w:bookmarkStart w:id="309" w:name="_Toc126661936"/>
    <w:bookmarkStart w:id="310" w:name="_Toc76023657"/>
    <w:bookmarkStart w:id="311" w:name="_Toc76023721"/>
    <w:bookmarkStart w:id="312" w:name="_Toc76376049"/>
    <w:bookmarkStart w:id="313" w:name="_Toc76377269"/>
    <w:bookmarkStart w:id="314" w:name="_Toc76377331"/>
    <w:bookmarkStart w:id="315" w:name="_Toc76378438"/>
    <w:bookmarkStart w:id="316" w:name="_Toc186198680"/>
    <w:bookmarkStart w:id="317" w:name="_Toc186198864"/>
    <w:bookmarkStart w:id="318" w:name="_Toc187231352"/>
    <w:bookmarkStart w:id="319" w:name="_Toc187308079"/>
    <w:bookmarkStart w:id="320" w:name="_Toc187332395"/>
    <w:bookmarkStart w:id="321" w:name="_Toc187402013"/>
    <w:bookmarkStart w:id="322" w:name="_Toc187652008"/>
    <w:bookmarkStart w:id="323" w:name="_Toc187652074"/>
    <w:bookmarkStart w:id="324" w:name="_Toc81499869"/>
    <w:bookmarkStart w:id="325" w:name="_Toc187308080"/>
    <w:bookmarkStart w:id="326" w:name="_Toc187332396"/>
    <w:bookmarkStart w:id="327" w:name="_Toc187402014"/>
    <w:bookmarkStart w:id="328" w:name="_Toc187652009"/>
    <w:bookmarkStart w:id="329" w:name="_Toc187652075"/>
    <w:bookmarkStart w:id="330" w:name="_Toc187308081"/>
    <w:bookmarkStart w:id="331" w:name="_Toc187332397"/>
    <w:bookmarkStart w:id="332" w:name="_Toc187402015"/>
    <w:bookmarkStart w:id="333" w:name="_Toc187652010"/>
    <w:bookmarkStart w:id="334" w:name="_Toc187652076"/>
    <w:bookmarkStart w:id="335" w:name="_Partnerships"/>
    <w:bookmarkStart w:id="336" w:name="_Toc187231354"/>
    <w:bookmarkStart w:id="337" w:name="_Toc187308083"/>
    <w:bookmarkStart w:id="338" w:name="_Toc187332399"/>
    <w:bookmarkStart w:id="339" w:name="_Toc187402017"/>
    <w:bookmarkStart w:id="340" w:name="_Toc187652012"/>
    <w:bookmarkStart w:id="341" w:name="_Toc187652078"/>
    <w:bookmarkEnd w:id="264"/>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0C29DBA0" w14:textId="44CFF748" w:rsidR="0022000E" w:rsidRPr="006F71B7" w:rsidRDefault="0022000E" w:rsidP="0022000E">
      <w:pPr>
        <w:rPr>
          <w:rFonts w:ascii="Arial" w:eastAsia="Arial" w:hAnsi="Arial" w:cs="Arial"/>
          <w:color w:val="000000"/>
          <w:sz w:val="22"/>
          <w:szCs w:val="22"/>
          <w:highlight w:val="white"/>
        </w:rPr>
      </w:pPr>
      <w:r w:rsidRPr="006F71B7">
        <w:rPr>
          <w:sz w:val="22"/>
          <w:szCs w:val="22"/>
        </w:rPr>
        <w:fldChar w:fldCharType="begin"/>
      </w:r>
      <w:r w:rsidRPr="006F71B7">
        <w:rPr>
          <w:sz w:val="22"/>
          <w:szCs w:val="22"/>
        </w:rPr>
        <w:instrText>HYPERLINK "https://www.england.nhs.uk/wp-content/uploads/2015/06/trans-uec.pdf" \h</w:instrText>
      </w:r>
      <w:r w:rsidRPr="006F71B7">
        <w:rPr>
          <w:sz w:val="22"/>
          <w:szCs w:val="22"/>
        </w:rPr>
      </w:r>
      <w:r w:rsidRPr="006F71B7">
        <w:rPr>
          <w:sz w:val="22"/>
          <w:szCs w:val="22"/>
        </w:rPr>
        <w:fldChar w:fldCharType="separate"/>
      </w:r>
      <w:r w:rsidRPr="006F71B7">
        <w:rPr>
          <w:rFonts w:ascii="Arial" w:eastAsia="Arial" w:hAnsi="Arial" w:cs="Arial"/>
          <w:color w:val="0563C1"/>
          <w:sz w:val="22"/>
          <w:szCs w:val="22"/>
          <w:u w:val="single"/>
        </w:rPr>
        <w:t>Transforming urgent and emergency care services in England</w:t>
      </w:r>
      <w:r w:rsidRPr="006F71B7">
        <w:rPr>
          <w:sz w:val="22"/>
          <w:szCs w:val="22"/>
        </w:rPr>
        <w:fldChar w:fldCharType="end"/>
      </w:r>
      <w:r w:rsidRPr="006F71B7">
        <w:rPr>
          <w:rFonts w:ascii="Arial" w:eastAsia="Arial" w:hAnsi="Arial" w:cs="Arial"/>
          <w:color w:val="0563C1"/>
          <w:sz w:val="22"/>
          <w:szCs w:val="22"/>
        </w:rPr>
        <w:t xml:space="preserve"> </w:t>
      </w:r>
      <w:r w:rsidRPr="006F71B7">
        <w:rPr>
          <w:rFonts w:ascii="Arial" w:eastAsia="Arial" w:hAnsi="Arial" w:cs="Arial"/>
          <w:color w:val="000000"/>
          <w:sz w:val="22"/>
          <w:szCs w:val="22"/>
        </w:rPr>
        <w:t>states that</w:t>
      </w:r>
      <w:r w:rsidRPr="006F71B7">
        <w:rPr>
          <w:color w:val="000000"/>
          <w:sz w:val="22"/>
          <w:szCs w:val="22"/>
        </w:rPr>
        <w:t xml:space="preserve"> </w:t>
      </w:r>
      <w:r w:rsidRPr="006F71B7">
        <w:rPr>
          <w:rFonts w:ascii="Arial" w:eastAsia="Arial" w:hAnsi="Arial" w:cs="Arial"/>
          <w:sz w:val="22"/>
          <w:szCs w:val="22"/>
        </w:rPr>
        <w:t xml:space="preserve">GPs have more contact with patients than any other element of the NHS. Early diagnosis and treatment in the primary care setting will reduce harm and distress for the patient. </w:t>
      </w:r>
      <w:hyperlink r:id="rId13">
        <w:r w:rsidRPr="006F71B7">
          <w:rPr>
            <w:rFonts w:ascii="Arial" w:eastAsia="Arial" w:hAnsi="Arial" w:cs="Arial"/>
            <w:color w:val="0563C1"/>
            <w:sz w:val="22"/>
            <w:szCs w:val="22"/>
            <w:u w:val="single"/>
          </w:rPr>
          <w:t>Just Say Sepsis</w:t>
        </w:r>
      </w:hyperlink>
      <w:r w:rsidRPr="006F71B7">
        <w:rPr>
          <w:rFonts w:ascii="Arial" w:eastAsia="Arial" w:hAnsi="Arial" w:cs="Arial"/>
          <w:color w:val="3E3E35"/>
          <w:sz w:val="22"/>
          <w:szCs w:val="22"/>
          <w:highlight w:val="white"/>
        </w:rPr>
        <w:t> </w:t>
      </w:r>
      <w:r w:rsidRPr="006F71B7">
        <w:rPr>
          <w:rFonts w:ascii="Arial" w:eastAsia="Arial" w:hAnsi="Arial" w:cs="Arial"/>
          <w:color w:val="000000"/>
          <w:sz w:val="22"/>
          <w:szCs w:val="22"/>
          <w:highlight w:val="white"/>
        </w:rPr>
        <w:t xml:space="preserve">highlights the importance of accurate early assessment and recording and sharing </w:t>
      </w:r>
      <w:r w:rsidR="003F4D2F">
        <w:rPr>
          <w:rFonts w:ascii="Arial" w:eastAsia="Arial" w:hAnsi="Arial" w:cs="Arial"/>
          <w:color w:val="000000"/>
          <w:sz w:val="22"/>
          <w:szCs w:val="22"/>
          <w:highlight w:val="white"/>
        </w:rPr>
        <w:t xml:space="preserve">the </w:t>
      </w:r>
      <w:r w:rsidRPr="006F71B7">
        <w:rPr>
          <w:rFonts w:ascii="Arial" w:eastAsia="Arial" w:hAnsi="Arial" w:cs="Arial"/>
          <w:color w:val="000000"/>
          <w:sz w:val="22"/>
          <w:szCs w:val="22"/>
          <w:highlight w:val="white"/>
        </w:rPr>
        <w:t>clinical findings.</w:t>
      </w:r>
    </w:p>
    <w:p w14:paraId="3CDB4764" w14:textId="77777777" w:rsidR="0022000E" w:rsidRPr="006F71B7" w:rsidRDefault="0022000E" w:rsidP="0022000E">
      <w:pPr>
        <w:rPr>
          <w:rFonts w:ascii="Arial" w:eastAsia="Arial" w:hAnsi="Arial" w:cs="Arial"/>
          <w:color w:val="000000"/>
          <w:sz w:val="22"/>
          <w:szCs w:val="22"/>
          <w:highlight w:val="white"/>
        </w:rPr>
      </w:pPr>
    </w:p>
    <w:p w14:paraId="434E9EFF" w14:textId="77777777" w:rsidR="0022000E" w:rsidRDefault="0022000E" w:rsidP="0022000E">
      <w:pPr>
        <w:rPr>
          <w:rFonts w:ascii="Arial" w:eastAsia="Arial" w:hAnsi="Arial" w:cs="Arial"/>
          <w:sz w:val="22"/>
          <w:szCs w:val="22"/>
        </w:rPr>
      </w:pPr>
      <w:r w:rsidRPr="006F71B7">
        <w:rPr>
          <w:rFonts w:ascii="Arial" w:eastAsia="Arial" w:hAnsi="Arial" w:cs="Arial"/>
          <w:sz w:val="22"/>
          <w:szCs w:val="22"/>
        </w:rPr>
        <w:t xml:space="preserve">GPs see many patients with infection. However, only a small number of patients are likely to have sepsis. This leads to a low suspicion of sepsis in the primary care environment. As evidenced in </w:t>
      </w:r>
      <w:hyperlink r:id="rId14">
        <w:r w:rsidRPr="006F71B7">
          <w:rPr>
            <w:rFonts w:ascii="Arial" w:eastAsia="Arial" w:hAnsi="Arial" w:cs="Arial"/>
            <w:color w:val="0563C1"/>
            <w:sz w:val="22"/>
            <w:szCs w:val="22"/>
            <w:u w:val="single"/>
          </w:rPr>
          <w:t>NHSE Improving outcomes for patients with sepsis</w:t>
        </w:r>
      </w:hyperlink>
      <w:r w:rsidRPr="006F71B7">
        <w:rPr>
          <w:rFonts w:ascii="Arial" w:eastAsia="Arial" w:hAnsi="Arial" w:cs="Arial"/>
          <w:color w:val="000000"/>
          <w:sz w:val="22"/>
          <w:szCs w:val="22"/>
        </w:rPr>
        <w:t>,</w:t>
      </w:r>
      <w:r w:rsidRPr="006F71B7">
        <w:rPr>
          <w:rFonts w:ascii="Arial" w:eastAsia="Arial" w:hAnsi="Arial" w:cs="Arial"/>
          <w:sz w:val="22"/>
          <w:szCs w:val="22"/>
        </w:rPr>
        <w:t xml:space="preserve"> 70% of cases of sepsis originate in the community. It is pivotal that clinicians can differentiate between simple infections and sepsis.</w:t>
      </w:r>
    </w:p>
    <w:p w14:paraId="1FA8539B" w14:textId="77777777" w:rsidR="006F71B7" w:rsidRDefault="006F71B7" w:rsidP="0022000E">
      <w:pPr>
        <w:rPr>
          <w:rFonts w:ascii="Arial" w:eastAsia="Arial" w:hAnsi="Arial" w:cs="Arial"/>
          <w:sz w:val="22"/>
          <w:szCs w:val="22"/>
        </w:rPr>
      </w:pPr>
    </w:p>
    <w:p w14:paraId="5B29656E" w14:textId="77777777" w:rsidR="006F71B7" w:rsidRPr="006F71B7" w:rsidRDefault="006F71B7" w:rsidP="0022000E">
      <w:pPr>
        <w:rPr>
          <w:rFonts w:ascii="Arial" w:eastAsia="Arial" w:hAnsi="Arial" w:cs="Arial"/>
          <w:sz w:val="22"/>
          <w:szCs w:val="22"/>
        </w:rPr>
      </w:pPr>
    </w:p>
    <w:p w14:paraId="36C25F92" w14:textId="7A432848" w:rsidR="00EF3294" w:rsidRPr="008C4C49" w:rsidRDefault="0022000E" w:rsidP="00DF0A30">
      <w:pPr>
        <w:pStyle w:val="Heading2"/>
        <w:rPr>
          <w:rFonts w:ascii="Arial" w:hAnsi="Arial" w:cs="Arial"/>
          <w:b w:val="0"/>
          <w:bCs w:val="0"/>
          <w:smallCaps w:val="0"/>
          <w:sz w:val="24"/>
          <w:szCs w:val="24"/>
          <w:lang w:val="en-GB"/>
        </w:rPr>
      </w:pPr>
      <w:bookmarkStart w:id="342" w:name="_Toc188265302"/>
      <w:r>
        <w:rPr>
          <w:rFonts w:ascii="Arial" w:hAnsi="Arial" w:cs="Arial"/>
          <w:smallCaps w:val="0"/>
          <w:sz w:val="24"/>
          <w:szCs w:val="24"/>
          <w:lang w:val="en-GB"/>
        </w:rPr>
        <w:lastRenderedPageBreak/>
        <w:t>Initial assessment</w:t>
      </w:r>
      <w:bookmarkEnd w:id="342"/>
    </w:p>
    <w:p w14:paraId="48088B75" w14:textId="4721ECDF" w:rsidR="00E956D9" w:rsidRPr="008C4C49" w:rsidRDefault="00E956D9" w:rsidP="00EF3294">
      <w:pPr>
        <w:rPr>
          <w:rFonts w:ascii="Arial" w:hAnsi="Arial" w:cs="Arial"/>
          <w:sz w:val="22"/>
          <w:szCs w:val="22"/>
        </w:rPr>
      </w:pPr>
    </w:p>
    <w:p w14:paraId="0565F48A" w14:textId="77777777" w:rsidR="0022000E" w:rsidRPr="0022000E" w:rsidRDefault="0022000E" w:rsidP="0022000E">
      <w:pPr>
        <w:rPr>
          <w:rFonts w:ascii="Arial" w:eastAsia="Arial" w:hAnsi="Arial" w:cs="Arial"/>
          <w:sz w:val="22"/>
          <w:szCs w:val="22"/>
        </w:rPr>
      </w:pPr>
      <w:bookmarkStart w:id="343" w:name="_The_partnership_agreement"/>
      <w:bookmarkEnd w:id="343"/>
      <w:r w:rsidRPr="0022000E">
        <w:rPr>
          <w:rFonts w:ascii="Arial" w:eastAsia="Arial" w:hAnsi="Arial" w:cs="Arial"/>
          <w:sz w:val="22"/>
          <w:szCs w:val="22"/>
        </w:rPr>
        <w:t xml:space="preserve">Clinicians will rely on their clinical skills and knowledge when diagnosing patients suspected of having sepsis. </w:t>
      </w:r>
    </w:p>
    <w:p w14:paraId="3363102D" w14:textId="77777777" w:rsidR="0022000E" w:rsidRPr="0022000E" w:rsidRDefault="0022000E" w:rsidP="0022000E">
      <w:pPr>
        <w:rPr>
          <w:rFonts w:ascii="Arial" w:eastAsia="Arial" w:hAnsi="Arial" w:cs="Arial"/>
          <w:sz w:val="22"/>
          <w:szCs w:val="22"/>
        </w:rPr>
      </w:pPr>
    </w:p>
    <w:p w14:paraId="7A70511B" w14:textId="77777777" w:rsidR="0022000E" w:rsidRPr="0022000E" w:rsidRDefault="0022000E" w:rsidP="0022000E">
      <w:pPr>
        <w:rPr>
          <w:rFonts w:ascii="Arial" w:eastAsia="Arial" w:hAnsi="Arial" w:cs="Arial"/>
          <w:sz w:val="22"/>
          <w:szCs w:val="22"/>
        </w:rPr>
      </w:pPr>
      <w:r w:rsidRPr="0022000E">
        <w:rPr>
          <w:rFonts w:ascii="Arial" w:eastAsia="Arial" w:hAnsi="Arial" w:cs="Arial"/>
          <w:sz w:val="22"/>
          <w:szCs w:val="22"/>
        </w:rPr>
        <w:t>They should:</w:t>
      </w:r>
    </w:p>
    <w:p w14:paraId="41E472F1" w14:textId="77777777" w:rsidR="0022000E" w:rsidRPr="0022000E" w:rsidRDefault="0022000E" w:rsidP="0022000E">
      <w:pPr>
        <w:rPr>
          <w:rFonts w:ascii="Arial" w:eastAsia="Arial" w:hAnsi="Arial" w:cs="Arial"/>
          <w:sz w:val="22"/>
          <w:szCs w:val="22"/>
        </w:rPr>
      </w:pPr>
    </w:p>
    <w:p w14:paraId="741A6462" w14:textId="77777777" w:rsidR="0022000E" w:rsidRPr="0022000E" w:rsidRDefault="0022000E" w:rsidP="0022000E">
      <w:pPr>
        <w:numPr>
          <w:ilvl w:val="0"/>
          <w:numId w:val="11"/>
        </w:numPr>
        <w:pBdr>
          <w:top w:val="nil"/>
          <w:left w:val="nil"/>
          <w:bottom w:val="nil"/>
          <w:right w:val="nil"/>
          <w:between w:val="nil"/>
        </w:pBdr>
        <w:rPr>
          <w:rFonts w:ascii="Arial" w:eastAsia="Arial" w:hAnsi="Arial" w:cs="Arial"/>
          <w:color w:val="000000"/>
          <w:sz w:val="22"/>
          <w:szCs w:val="22"/>
        </w:rPr>
      </w:pPr>
      <w:r w:rsidRPr="0022000E">
        <w:rPr>
          <w:rFonts w:ascii="Arial" w:eastAsia="Arial" w:hAnsi="Arial" w:cs="Arial"/>
          <w:color w:val="000000"/>
          <w:sz w:val="22"/>
          <w:szCs w:val="22"/>
        </w:rPr>
        <w:t>Consider the patient’s history and risk factors alongside clinical assessment</w:t>
      </w:r>
    </w:p>
    <w:p w14:paraId="338A05D4" w14:textId="77777777" w:rsidR="0022000E" w:rsidRPr="0022000E" w:rsidRDefault="0022000E" w:rsidP="0022000E">
      <w:pPr>
        <w:pBdr>
          <w:top w:val="nil"/>
          <w:left w:val="nil"/>
          <w:bottom w:val="nil"/>
          <w:right w:val="nil"/>
          <w:between w:val="nil"/>
        </w:pBdr>
        <w:ind w:left="720"/>
        <w:rPr>
          <w:rFonts w:ascii="Arial" w:eastAsia="Arial" w:hAnsi="Arial" w:cs="Arial"/>
          <w:color w:val="000000"/>
          <w:sz w:val="22"/>
          <w:szCs w:val="22"/>
        </w:rPr>
      </w:pPr>
    </w:p>
    <w:p w14:paraId="510E642A" w14:textId="77777777" w:rsidR="0022000E" w:rsidRPr="0022000E" w:rsidRDefault="0022000E" w:rsidP="0022000E">
      <w:pPr>
        <w:numPr>
          <w:ilvl w:val="0"/>
          <w:numId w:val="11"/>
        </w:numPr>
        <w:pBdr>
          <w:top w:val="nil"/>
          <w:left w:val="nil"/>
          <w:bottom w:val="nil"/>
          <w:right w:val="nil"/>
          <w:between w:val="nil"/>
        </w:pBdr>
        <w:rPr>
          <w:rFonts w:ascii="Arial" w:eastAsia="Arial" w:hAnsi="Arial" w:cs="Arial"/>
          <w:color w:val="000000"/>
          <w:sz w:val="22"/>
          <w:szCs w:val="22"/>
        </w:rPr>
      </w:pPr>
      <w:r w:rsidRPr="0022000E">
        <w:rPr>
          <w:rFonts w:ascii="Arial" w:eastAsia="Arial" w:hAnsi="Arial" w:cs="Arial"/>
          <w:color w:val="000000"/>
          <w:sz w:val="22"/>
          <w:szCs w:val="22"/>
        </w:rPr>
        <w:t>Make a clinical assessment that includes measurement of physiological variables (temperature, pulse, blood pressure, respiratory rate, level of consciousness and oxygen saturation) which can be used to stratify the severity of illness</w:t>
      </w:r>
    </w:p>
    <w:p w14:paraId="30258A68" w14:textId="77777777" w:rsidR="0022000E" w:rsidRPr="0022000E" w:rsidRDefault="0022000E" w:rsidP="0022000E">
      <w:pPr>
        <w:rPr>
          <w:rFonts w:ascii="Arial" w:eastAsia="Arial" w:hAnsi="Arial" w:cs="Arial"/>
          <w:color w:val="000000"/>
          <w:sz w:val="22"/>
          <w:szCs w:val="22"/>
        </w:rPr>
      </w:pPr>
    </w:p>
    <w:p w14:paraId="2B3B87E2" w14:textId="47638D6A" w:rsidR="0022000E" w:rsidRPr="0022000E" w:rsidRDefault="0022000E" w:rsidP="0022000E">
      <w:pPr>
        <w:pBdr>
          <w:top w:val="nil"/>
          <w:left w:val="nil"/>
          <w:bottom w:val="nil"/>
          <w:right w:val="nil"/>
          <w:between w:val="nil"/>
        </w:pBdr>
        <w:shd w:val="clear" w:color="auto" w:fill="FFFFFF"/>
        <w:rPr>
          <w:rFonts w:ascii="Arial" w:eastAsia="Arial" w:hAnsi="Arial" w:cs="Arial"/>
          <w:color w:val="000000"/>
          <w:sz w:val="22"/>
          <w:szCs w:val="22"/>
        </w:rPr>
      </w:pPr>
      <w:r w:rsidRPr="0022000E">
        <w:rPr>
          <w:rFonts w:ascii="Arial" w:eastAsia="Arial" w:hAnsi="Arial" w:cs="Arial"/>
          <w:color w:val="000000"/>
          <w:sz w:val="22"/>
          <w:szCs w:val="22"/>
        </w:rPr>
        <w:t xml:space="preserve">These should be performed when a patient presents with an acute illness, or a deteriorating pre-existing condition, particularly when sepsis is suspected. </w:t>
      </w:r>
    </w:p>
    <w:p w14:paraId="25D8A33F" w14:textId="77777777" w:rsidR="0022000E" w:rsidRPr="0022000E" w:rsidRDefault="0022000E" w:rsidP="0022000E">
      <w:pPr>
        <w:pBdr>
          <w:top w:val="nil"/>
          <w:left w:val="nil"/>
          <w:bottom w:val="nil"/>
          <w:right w:val="nil"/>
          <w:between w:val="nil"/>
        </w:pBdr>
        <w:shd w:val="clear" w:color="auto" w:fill="FFFFFF"/>
        <w:rPr>
          <w:rFonts w:ascii="Arial" w:eastAsia="Arial" w:hAnsi="Arial" w:cs="Arial"/>
          <w:color w:val="000000"/>
          <w:sz w:val="22"/>
          <w:szCs w:val="22"/>
        </w:rPr>
      </w:pPr>
      <w:r w:rsidRPr="0022000E">
        <w:rPr>
          <w:rFonts w:ascii="Arial" w:eastAsia="Arial" w:hAnsi="Arial" w:cs="Arial"/>
          <w:color w:val="000000"/>
          <w:sz w:val="22"/>
          <w:szCs w:val="22"/>
        </w:rPr>
        <w:t xml:space="preserve">  </w:t>
      </w:r>
    </w:p>
    <w:p w14:paraId="02FB7FEE" w14:textId="77777777" w:rsidR="0022000E" w:rsidRPr="0022000E" w:rsidRDefault="0022000E" w:rsidP="0022000E">
      <w:pPr>
        <w:pBdr>
          <w:top w:val="nil"/>
          <w:left w:val="nil"/>
          <w:bottom w:val="nil"/>
          <w:right w:val="nil"/>
          <w:between w:val="nil"/>
        </w:pBdr>
        <w:shd w:val="clear" w:color="auto" w:fill="FFFFFF"/>
        <w:rPr>
          <w:rFonts w:ascii="Arial" w:eastAsia="Arial" w:hAnsi="Arial" w:cs="Arial"/>
          <w:color w:val="000000"/>
          <w:sz w:val="22"/>
          <w:szCs w:val="22"/>
        </w:rPr>
      </w:pPr>
      <w:r w:rsidRPr="0022000E">
        <w:rPr>
          <w:rFonts w:ascii="Arial" w:eastAsia="Arial" w:hAnsi="Arial" w:cs="Arial"/>
          <w:color w:val="000000"/>
          <w:sz w:val="22"/>
          <w:szCs w:val="22"/>
        </w:rPr>
        <w:t>This organisation will use the National Early Warning Score </w:t>
      </w:r>
      <w:hyperlink r:id="rId15">
        <w:r w:rsidRPr="0022000E">
          <w:rPr>
            <w:rFonts w:ascii="Arial" w:eastAsia="Arial" w:hAnsi="Arial" w:cs="Arial"/>
            <w:color w:val="0563C1"/>
            <w:sz w:val="22"/>
            <w:szCs w:val="22"/>
            <w:u w:val="single"/>
          </w:rPr>
          <w:t>(NEWS2)</w:t>
        </w:r>
      </w:hyperlink>
      <w:r w:rsidRPr="0022000E">
        <w:rPr>
          <w:rFonts w:ascii="Arial" w:eastAsia="Arial" w:hAnsi="Arial" w:cs="Arial"/>
          <w:color w:val="000000"/>
          <w:sz w:val="22"/>
          <w:szCs w:val="22"/>
        </w:rPr>
        <w:t xml:space="preserve"> to enable standardisation and a common language when describing concern and to track deterioration. </w:t>
      </w:r>
    </w:p>
    <w:p w14:paraId="0567915A" w14:textId="77777777" w:rsidR="0022000E" w:rsidRPr="0022000E" w:rsidRDefault="0022000E" w:rsidP="0022000E">
      <w:pPr>
        <w:pBdr>
          <w:top w:val="nil"/>
          <w:left w:val="nil"/>
          <w:bottom w:val="nil"/>
          <w:right w:val="nil"/>
          <w:between w:val="nil"/>
        </w:pBdr>
        <w:shd w:val="clear" w:color="auto" w:fill="FFFFFF"/>
        <w:rPr>
          <w:rFonts w:ascii="Arial" w:eastAsia="Arial" w:hAnsi="Arial" w:cs="Arial"/>
          <w:color w:val="000000"/>
          <w:sz w:val="22"/>
          <w:szCs w:val="22"/>
        </w:rPr>
      </w:pPr>
    </w:p>
    <w:p w14:paraId="713FCC89" w14:textId="77777777" w:rsidR="0022000E" w:rsidRPr="0022000E" w:rsidRDefault="0022000E" w:rsidP="0022000E">
      <w:pPr>
        <w:pBdr>
          <w:top w:val="nil"/>
          <w:left w:val="nil"/>
          <w:bottom w:val="nil"/>
          <w:right w:val="nil"/>
          <w:between w:val="nil"/>
        </w:pBdr>
        <w:shd w:val="clear" w:color="auto" w:fill="FFFFFF"/>
        <w:rPr>
          <w:rFonts w:ascii="Arial" w:eastAsia="Arial" w:hAnsi="Arial" w:cs="Arial"/>
          <w:color w:val="000000"/>
          <w:sz w:val="22"/>
          <w:szCs w:val="22"/>
          <w:highlight w:val="white"/>
        </w:rPr>
      </w:pPr>
      <w:r w:rsidRPr="0022000E">
        <w:rPr>
          <w:rFonts w:ascii="Arial" w:eastAsia="Arial" w:hAnsi="Arial" w:cs="Arial"/>
          <w:color w:val="000000"/>
          <w:sz w:val="22"/>
          <w:szCs w:val="22"/>
          <w:highlight w:val="white"/>
        </w:rPr>
        <w:t xml:space="preserve">If, following a NEWS2 score, there are concerns and the patient is likely to have an infection, the UK Sepsis Trust </w:t>
      </w:r>
      <w:hyperlink r:id="rId16">
        <w:r w:rsidRPr="0022000E">
          <w:rPr>
            <w:rFonts w:ascii="Arial" w:eastAsia="Arial" w:hAnsi="Arial" w:cs="Arial"/>
            <w:color w:val="0563C1"/>
            <w:sz w:val="22"/>
            <w:szCs w:val="22"/>
            <w:highlight w:val="white"/>
            <w:u w:val="single"/>
          </w:rPr>
          <w:t>SEPSIS acronym</w:t>
        </w:r>
      </w:hyperlink>
      <w:r w:rsidRPr="0022000E">
        <w:rPr>
          <w:rFonts w:ascii="Arial" w:eastAsia="Arial" w:hAnsi="Arial" w:cs="Arial"/>
          <w:color w:val="000000"/>
          <w:sz w:val="22"/>
          <w:szCs w:val="22"/>
          <w:highlight w:val="white"/>
        </w:rPr>
        <w:t xml:space="preserve"> should be used. This acronym has been created to facilitate the appropriate medical emergency response.</w:t>
      </w:r>
    </w:p>
    <w:p w14:paraId="5D39DD40" w14:textId="11C7846F" w:rsidR="002A204F" w:rsidRPr="008C4C49" w:rsidRDefault="0022000E" w:rsidP="002A204F">
      <w:pPr>
        <w:pStyle w:val="Heading2"/>
        <w:rPr>
          <w:rFonts w:ascii="Arial" w:hAnsi="Arial" w:cs="Arial"/>
          <w:smallCaps w:val="0"/>
          <w:sz w:val="24"/>
          <w:szCs w:val="24"/>
          <w:lang w:val="en-GB"/>
        </w:rPr>
      </w:pPr>
      <w:bookmarkStart w:id="344" w:name="_Toc188265303"/>
      <w:r>
        <w:rPr>
          <w:rFonts w:ascii="Arial" w:hAnsi="Arial" w:cs="Arial"/>
          <w:smallCaps w:val="0"/>
          <w:sz w:val="24"/>
          <w:szCs w:val="24"/>
          <w:lang w:val="en-GB"/>
        </w:rPr>
        <w:t>Management in primary care</w:t>
      </w:r>
      <w:bookmarkEnd w:id="344"/>
    </w:p>
    <w:p w14:paraId="253CE233" w14:textId="77777777" w:rsidR="006F71B7" w:rsidRPr="006F71B7" w:rsidRDefault="006F71B7" w:rsidP="006F71B7">
      <w:pPr>
        <w:pStyle w:val="NormalWeb"/>
        <w:rPr>
          <w:rFonts w:ascii="Arial" w:hAnsi="Arial" w:cs="Arial"/>
          <w:sz w:val="22"/>
          <w:szCs w:val="22"/>
        </w:rPr>
      </w:pPr>
      <w:r w:rsidRPr="006F71B7">
        <w:rPr>
          <w:rFonts w:ascii="Arial" w:hAnsi="Arial" w:cs="Arial"/>
          <w:sz w:val="22"/>
          <w:szCs w:val="22"/>
        </w:rPr>
        <w:t xml:space="preserve">This organisation ensures that sepsis is routinely discussed at meetings, infection control is effective, information is provided, shared and recorded, emergency equipment is readily available and in good order and training for all clinical and non-clinical staff regarding sepsis is undertaken. </w:t>
      </w:r>
    </w:p>
    <w:p w14:paraId="2BBE7740" w14:textId="77777777" w:rsidR="006F71B7" w:rsidRPr="006F71B7" w:rsidRDefault="006F71B7" w:rsidP="006F71B7">
      <w:pPr>
        <w:rPr>
          <w:rFonts w:ascii="Arial" w:hAnsi="Arial" w:cs="Arial"/>
          <w:sz w:val="22"/>
          <w:szCs w:val="22"/>
          <w:lang w:eastAsia="en-US"/>
        </w:rPr>
      </w:pPr>
      <w:r w:rsidRPr="006F71B7">
        <w:rPr>
          <w:rFonts w:ascii="Arial" w:hAnsi="Arial" w:cs="Arial"/>
          <w:sz w:val="22"/>
          <w:szCs w:val="22"/>
          <w:lang w:eastAsia="en-US"/>
        </w:rPr>
        <w:t xml:space="preserve">Clinicians should use the </w:t>
      </w:r>
      <w:hyperlink r:id="rId17">
        <w:r w:rsidRPr="006F71B7">
          <w:rPr>
            <w:rStyle w:val="Hyperlink"/>
            <w:rFonts w:ascii="Arial" w:eastAsiaTheme="majorEastAsia" w:hAnsi="Arial" w:cs="Arial"/>
            <w:sz w:val="22"/>
            <w:szCs w:val="22"/>
            <w:lang w:eastAsia="en-US"/>
          </w:rPr>
          <w:t>NICE guidance NG51 Tools and resources</w:t>
        </w:r>
      </w:hyperlink>
      <w:r w:rsidRPr="006F71B7">
        <w:rPr>
          <w:rFonts w:ascii="Arial" w:hAnsi="Arial" w:cs="Arial"/>
          <w:sz w:val="22"/>
          <w:szCs w:val="22"/>
          <w:lang w:eastAsia="en-US"/>
        </w:rPr>
        <w:t xml:space="preserve"> to support them when considering a diagnosis of sepsis in addition to the NICE guidance titled </w:t>
      </w:r>
      <w:hyperlink r:id="rId18">
        <w:r w:rsidRPr="006F71B7">
          <w:rPr>
            <w:rStyle w:val="Hyperlink"/>
            <w:rFonts w:ascii="Arial" w:eastAsiaTheme="majorEastAsia" w:hAnsi="Arial" w:cs="Arial"/>
            <w:sz w:val="22"/>
            <w:szCs w:val="22"/>
          </w:rPr>
          <w:t>Suspected sepsis: recognition, diagnosis and early management</w:t>
        </w:r>
      </w:hyperlink>
      <w:r w:rsidRPr="006F71B7">
        <w:rPr>
          <w:rFonts w:ascii="Arial" w:hAnsi="Arial" w:cs="Arial"/>
          <w:sz w:val="22"/>
          <w:szCs w:val="22"/>
        </w:rPr>
        <w:t>.</w:t>
      </w:r>
      <w:r w:rsidRPr="006F71B7">
        <w:rPr>
          <w:rFonts w:ascii="Arial" w:hAnsi="Arial" w:cs="Arial"/>
          <w:sz w:val="22"/>
          <w:szCs w:val="22"/>
          <w:lang w:eastAsia="en-US"/>
        </w:rPr>
        <w:t xml:space="preserve"> </w:t>
      </w:r>
      <w:r w:rsidRPr="006F71B7">
        <w:rPr>
          <w:rFonts w:ascii="Arial" w:hAnsi="Arial" w:cs="Arial"/>
          <w:sz w:val="22"/>
          <w:szCs w:val="22"/>
        </w:rPr>
        <w:t>Sepsis assessment and audit tools are used to review the management of patients referred to secondary care as part of the continuous improvement process.</w:t>
      </w:r>
    </w:p>
    <w:p w14:paraId="2997C041" w14:textId="77777777" w:rsidR="006F71B7" w:rsidRDefault="006F71B7" w:rsidP="006F71B7">
      <w:pPr>
        <w:rPr>
          <w:rFonts w:ascii="Arial" w:hAnsi="Arial" w:cs="Arial"/>
          <w:sz w:val="22"/>
          <w:szCs w:val="22"/>
          <w:lang w:eastAsia="en-US"/>
        </w:rPr>
      </w:pPr>
    </w:p>
    <w:p w14:paraId="63A72BD0" w14:textId="55FD890C" w:rsidR="006F71B7" w:rsidRDefault="006F71B7" w:rsidP="006F71B7">
      <w:pPr>
        <w:rPr>
          <w:rFonts w:ascii="Arial" w:hAnsi="Arial" w:cs="Arial"/>
          <w:sz w:val="22"/>
          <w:szCs w:val="22"/>
          <w:lang w:eastAsia="en-US"/>
        </w:rPr>
      </w:pPr>
      <w:r>
        <w:rPr>
          <w:rFonts w:ascii="Arial" w:hAnsi="Arial" w:cs="Arial"/>
          <w:sz w:val="22"/>
          <w:szCs w:val="22"/>
          <w:lang w:eastAsia="en-US"/>
        </w:rPr>
        <w:t>The</w:t>
      </w:r>
      <w:r w:rsidRPr="006F71B7">
        <w:rPr>
          <w:rFonts w:ascii="Arial" w:hAnsi="Arial" w:cs="Arial"/>
          <w:sz w:val="22"/>
          <w:szCs w:val="22"/>
          <w:lang w:eastAsia="en-US"/>
        </w:rPr>
        <w:t xml:space="preserve"> </w:t>
      </w:r>
      <w:hyperlink r:id="rId19">
        <w:r w:rsidRPr="006F71B7">
          <w:rPr>
            <w:rStyle w:val="Hyperlink"/>
            <w:rFonts w:ascii="Arial" w:eastAsiaTheme="majorEastAsia" w:hAnsi="Arial" w:cs="Arial"/>
            <w:sz w:val="22"/>
            <w:szCs w:val="22"/>
            <w:lang w:eastAsia="en-US"/>
          </w:rPr>
          <w:t>UK Sepsis Trust</w:t>
        </w:r>
      </w:hyperlink>
      <w:r w:rsidRPr="006F71B7">
        <w:rPr>
          <w:rFonts w:ascii="Arial" w:hAnsi="Arial" w:cs="Arial"/>
          <w:sz w:val="22"/>
          <w:szCs w:val="22"/>
          <w:lang w:eastAsia="en-US"/>
        </w:rPr>
        <w:t xml:space="preserve"> ha</w:t>
      </w:r>
      <w:r w:rsidR="003F4D2F">
        <w:rPr>
          <w:rFonts w:ascii="Arial" w:hAnsi="Arial" w:cs="Arial"/>
          <w:sz w:val="22"/>
          <w:szCs w:val="22"/>
          <w:lang w:eastAsia="en-US"/>
        </w:rPr>
        <w:t>s</w:t>
      </w:r>
      <w:r w:rsidRPr="006F71B7">
        <w:rPr>
          <w:rFonts w:ascii="Arial" w:hAnsi="Arial" w:cs="Arial"/>
          <w:sz w:val="22"/>
          <w:szCs w:val="22"/>
          <w:lang w:eastAsia="en-US"/>
        </w:rPr>
        <w:t xml:space="preserve"> produced a series of </w:t>
      </w:r>
      <w:hyperlink r:id="rId20">
        <w:r w:rsidRPr="006F71B7">
          <w:rPr>
            <w:rStyle w:val="Hyperlink"/>
            <w:rFonts w:ascii="Arial" w:eastAsiaTheme="majorEastAsia" w:hAnsi="Arial" w:cs="Arial"/>
            <w:sz w:val="22"/>
            <w:szCs w:val="22"/>
            <w:lang w:eastAsia="en-US"/>
          </w:rPr>
          <w:t>NICE approved tools and resources</w:t>
        </w:r>
      </w:hyperlink>
      <w:r w:rsidRPr="006F71B7">
        <w:rPr>
          <w:rFonts w:ascii="Arial" w:hAnsi="Arial" w:cs="Arial"/>
          <w:sz w:val="22"/>
          <w:szCs w:val="22"/>
          <w:lang w:eastAsia="en-US"/>
        </w:rPr>
        <w:t xml:space="preserve"> for general practice that were last updated in 2024. In addition to NEWS2, other tools are currently being trialled as detailed within the </w:t>
      </w:r>
      <w:hyperlink r:id="rId21">
        <w:r w:rsidRPr="006F71B7">
          <w:rPr>
            <w:rStyle w:val="Hyperlink"/>
            <w:rFonts w:ascii="Arial" w:eastAsiaTheme="majorEastAsia" w:hAnsi="Arial" w:cs="Arial"/>
            <w:sz w:val="22"/>
            <w:szCs w:val="22"/>
            <w:lang w:eastAsia="en-US"/>
          </w:rPr>
          <w:t>Non-NICE approved tools and resources</w:t>
        </w:r>
      </w:hyperlink>
      <w:r w:rsidRPr="006F71B7">
        <w:rPr>
          <w:rFonts w:ascii="Arial" w:hAnsi="Arial" w:cs="Arial"/>
          <w:sz w:val="22"/>
          <w:szCs w:val="22"/>
          <w:lang w:eastAsia="en-US"/>
        </w:rPr>
        <w:t xml:space="preserve"> guidance. </w:t>
      </w:r>
      <w:r w:rsidRPr="006F71B7">
        <w:rPr>
          <w:rFonts w:ascii="Arial" w:hAnsi="Arial" w:cs="Arial"/>
          <w:sz w:val="22"/>
          <w:szCs w:val="22"/>
        </w:rPr>
        <w:t>The</w:t>
      </w:r>
      <w:r>
        <w:rPr>
          <w:rFonts w:ascii="Arial" w:hAnsi="Arial" w:cs="Arial"/>
          <w:sz w:val="22"/>
          <w:szCs w:val="22"/>
        </w:rPr>
        <w:t xml:space="preserve"> </w:t>
      </w:r>
      <w:hyperlink r:id="rId22">
        <w:r w:rsidRPr="006F71B7">
          <w:rPr>
            <w:rStyle w:val="Hyperlink"/>
            <w:rFonts w:ascii="Arial" w:eastAsiaTheme="majorEastAsia" w:hAnsi="Arial" w:cs="Arial"/>
            <w:sz w:val="22"/>
            <w:szCs w:val="22"/>
          </w:rPr>
          <w:t>Sepsis Manual</w:t>
        </w:r>
      </w:hyperlink>
      <w:r w:rsidRPr="006F71B7">
        <w:rPr>
          <w:rFonts w:ascii="Arial" w:hAnsi="Arial" w:cs="Arial"/>
          <w:sz w:val="22"/>
          <w:szCs w:val="22"/>
        </w:rPr>
        <w:t xml:space="preserve"> provides further detailed information</w:t>
      </w:r>
      <w:r>
        <w:rPr>
          <w:rFonts w:ascii="Arial" w:hAnsi="Arial" w:cs="Arial"/>
          <w:sz w:val="22"/>
          <w:szCs w:val="22"/>
        </w:rPr>
        <w:t>.</w:t>
      </w:r>
    </w:p>
    <w:p w14:paraId="760C82CC" w14:textId="77777777" w:rsidR="0022000E" w:rsidRPr="0022000E" w:rsidRDefault="0022000E" w:rsidP="0022000E">
      <w:pPr>
        <w:rPr>
          <w:rFonts w:ascii="Arial" w:eastAsia="Arial" w:hAnsi="Arial" w:cs="Arial"/>
          <w:color w:val="000000"/>
          <w:sz w:val="22"/>
          <w:szCs w:val="22"/>
        </w:rPr>
      </w:pPr>
    </w:p>
    <w:p w14:paraId="38E227D3" w14:textId="08B46CE7" w:rsidR="0022000E" w:rsidRDefault="006F71B7" w:rsidP="006F71B7">
      <w:pPr>
        <w:rPr>
          <w:rFonts w:ascii="Arial" w:eastAsia="Arial" w:hAnsi="Arial" w:cs="Arial"/>
          <w:color w:val="000000"/>
          <w:sz w:val="22"/>
          <w:szCs w:val="22"/>
        </w:rPr>
      </w:pPr>
      <w:r>
        <w:rPr>
          <w:rFonts w:ascii="Arial" w:eastAsia="Arial" w:hAnsi="Arial" w:cs="Arial"/>
          <w:color w:val="000000"/>
          <w:sz w:val="22"/>
          <w:szCs w:val="22"/>
        </w:rPr>
        <w:t>Further additional information</w:t>
      </w:r>
      <w:r w:rsidR="0022000E" w:rsidRPr="0022000E">
        <w:rPr>
          <w:rFonts w:ascii="Arial" w:eastAsia="Arial" w:hAnsi="Arial" w:cs="Arial"/>
          <w:color w:val="000000"/>
          <w:sz w:val="22"/>
          <w:szCs w:val="22"/>
        </w:rPr>
        <w:t xml:space="preserve"> can be found in the organisation’s </w:t>
      </w:r>
      <w:r w:rsidR="0022000E" w:rsidRPr="0022000E">
        <w:rPr>
          <w:rFonts w:ascii="Arial" w:eastAsia="Arial" w:hAnsi="Arial" w:cs="Arial"/>
          <w:sz w:val="22"/>
          <w:szCs w:val="22"/>
        </w:rPr>
        <w:t>Personalised Care and Safety Netting Policy</w:t>
      </w:r>
      <w:r w:rsidR="0022000E" w:rsidRPr="0022000E">
        <w:rPr>
          <w:rFonts w:ascii="Arial" w:eastAsia="Arial" w:hAnsi="Arial" w:cs="Arial"/>
          <w:color w:val="000000"/>
          <w:sz w:val="22"/>
          <w:szCs w:val="22"/>
        </w:rPr>
        <w:t>.</w:t>
      </w:r>
      <w:bookmarkStart w:id="345" w:name="_Toc160094398"/>
    </w:p>
    <w:p w14:paraId="29B49C62" w14:textId="56F12550" w:rsidR="005E174E" w:rsidRDefault="0022000E" w:rsidP="005E174E">
      <w:pPr>
        <w:pStyle w:val="Heading2"/>
        <w:rPr>
          <w:rFonts w:ascii="Arial" w:hAnsi="Arial" w:cs="Arial"/>
          <w:smallCaps w:val="0"/>
          <w:sz w:val="24"/>
          <w:szCs w:val="24"/>
          <w:lang w:val="en-GB"/>
        </w:rPr>
      </w:pPr>
      <w:bookmarkStart w:id="346" w:name="_Toc188265304"/>
      <w:bookmarkEnd w:id="345"/>
      <w:r>
        <w:rPr>
          <w:rFonts w:ascii="Arial" w:hAnsi="Arial" w:cs="Arial"/>
          <w:smallCaps w:val="0"/>
          <w:sz w:val="24"/>
          <w:szCs w:val="24"/>
          <w:lang w:val="en-GB"/>
        </w:rPr>
        <w:t>Non-clinical staff responsibilities and training</w:t>
      </w:r>
      <w:bookmarkEnd w:id="346"/>
    </w:p>
    <w:p w14:paraId="10E02AA7" w14:textId="77777777" w:rsidR="005E174E" w:rsidRDefault="005E174E" w:rsidP="005E174E"/>
    <w:p w14:paraId="2BC02793" w14:textId="77777777" w:rsidR="0022000E" w:rsidRDefault="0022000E" w:rsidP="0022000E">
      <w:pPr>
        <w:rPr>
          <w:rFonts w:ascii="Arial" w:eastAsia="Arial" w:hAnsi="Arial" w:cs="Arial"/>
          <w:sz w:val="22"/>
          <w:szCs w:val="22"/>
        </w:rPr>
      </w:pPr>
      <w:bookmarkStart w:id="347" w:name="_Toc160094399"/>
      <w:r>
        <w:rPr>
          <w:rFonts w:ascii="Arial" w:eastAsia="Arial" w:hAnsi="Arial" w:cs="Arial"/>
          <w:sz w:val="22"/>
          <w:szCs w:val="22"/>
        </w:rPr>
        <w:t>Non-clinical staff are to be trained to appropriately refer the acutely unwell patient to the relevant clinician. When doubt exists, non-clinical staff should alert a clinical colleague to ensure that patients are afforded the most appropriate level of care in a potentially distressing situation.</w:t>
      </w:r>
    </w:p>
    <w:p w14:paraId="0D5DC0D2" w14:textId="77777777" w:rsidR="006F71B7" w:rsidRDefault="006F71B7" w:rsidP="0022000E">
      <w:pPr>
        <w:rPr>
          <w:rFonts w:ascii="Arial" w:eastAsia="Arial" w:hAnsi="Arial" w:cs="Arial"/>
          <w:sz w:val="22"/>
          <w:szCs w:val="22"/>
        </w:rPr>
      </w:pPr>
    </w:p>
    <w:p w14:paraId="7D7DB52D" w14:textId="77777777" w:rsidR="006F71B7" w:rsidRDefault="006F71B7" w:rsidP="0022000E">
      <w:pPr>
        <w:rPr>
          <w:rFonts w:ascii="Arial" w:eastAsia="Arial" w:hAnsi="Arial" w:cs="Arial"/>
          <w:sz w:val="22"/>
          <w:szCs w:val="22"/>
        </w:rPr>
      </w:pPr>
    </w:p>
    <w:p w14:paraId="78882795" w14:textId="77777777" w:rsidR="006F71B7" w:rsidRPr="0022000E" w:rsidRDefault="006F71B7" w:rsidP="006F71B7">
      <w:pPr>
        <w:rPr>
          <w:rFonts w:ascii="Arial" w:eastAsia="Arial" w:hAnsi="Arial" w:cs="Arial"/>
          <w:sz w:val="22"/>
          <w:szCs w:val="22"/>
        </w:rPr>
      </w:pPr>
    </w:p>
    <w:p w14:paraId="1A63724C" w14:textId="7740F569" w:rsidR="006F71B7" w:rsidRDefault="006F71B7" w:rsidP="006F71B7">
      <w:pPr>
        <w:rPr>
          <w:rFonts w:ascii="Arial" w:eastAsia="Arial" w:hAnsi="Arial" w:cs="Arial"/>
          <w:sz w:val="22"/>
          <w:szCs w:val="22"/>
        </w:rPr>
      </w:pPr>
    </w:p>
    <w:p w14:paraId="3D581E1E" w14:textId="77777777" w:rsidR="006F71B7" w:rsidRDefault="006F71B7" w:rsidP="0022000E">
      <w:pPr>
        <w:rPr>
          <w:rFonts w:ascii="Arial" w:eastAsia="Arial" w:hAnsi="Arial" w:cs="Arial"/>
          <w:sz w:val="22"/>
          <w:szCs w:val="22"/>
        </w:rPr>
      </w:pPr>
    </w:p>
    <w:p w14:paraId="05BAFC36" w14:textId="77777777" w:rsidR="0022000E" w:rsidRDefault="0022000E" w:rsidP="0022000E">
      <w:pPr>
        <w:rPr>
          <w:rFonts w:ascii="Arial" w:eastAsia="Arial" w:hAnsi="Arial" w:cs="Arial"/>
          <w:sz w:val="22"/>
          <w:szCs w:val="22"/>
        </w:rPr>
      </w:pPr>
    </w:p>
    <w:bookmarkEnd w:id="347"/>
    <w:p w14:paraId="1CE86230" w14:textId="4913504B" w:rsidR="006F71B7" w:rsidRPr="006F71B7" w:rsidRDefault="0020113D" w:rsidP="006F71B7">
      <w:pPr>
        <w:snapToGrid w:val="0"/>
        <w:rPr>
          <w:rFonts w:ascii="Arial" w:hAnsi="Arial" w:cs="Arial"/>
          <w:sz w:val="22"/>
          <w:szCs w:val="22"/>
        </w:rPr>
      </w:pPr>
      <w:r>
        <w:rPr>
          <w:rFonts w:ascii="Arial" w:hAnsi="Arial" w:cs="Arial"/>
          <w:sz w:val="22"/>
          <w:szCs w:val="22"/>
        </w:rPr>
        <w:t>T</w:t>
      </w:r>
      <w:r w:rsidR="006F71B7" w:rsidRPr="006F71B7">
        <w:rPr>
          <w:rFonts w:ascii="Arial" w:hAnsi="Arial" w:cs="Arial"/>
          <w:sz w:val="22"/>
          <w:szCs w:val="22"/>
        </w:rPr>
        <w:t>he RCGP ha</w:t>
      </w:r>
      <w:r w:rsidR="003F4D2F">
        <w:rPr>
          <w:rFonts w:ascii="Arial" w:hAnsi="Arial" w:cs="Arial"/>
          <w:sz w:val="22"/>
          <w:szCs w:val="22"/>
        </w:rPr>
        <w:t>s</w:t>
      </w:r>
      <w:r w:rsidR="006F71B7" w:rsidRPr="006F71B7">
        <w:rPr>
          <w:rFonts w:ascii="Arial" w:hAnsi="Arial" w:cs="Arial"/>
          <w:sz w:val="22"/>
          <w:szCs w:val="22"/>
        </w:rPr>
        <w:t xml:space="preserve"> produced the </w:t>
      </w:r>
      <w:hyperlink r:id="rId23" w:tgtFrame="_blank">
        <w:r w:rsidR="006F71B7" w:rsidRPr="006F71B7">
          <w:rPr>
            <w:rStyle w:val="Hyperlink"/>
            <w:rFonts w:ascii="Arial" w:eastAsiaTheme="majorEastAsia" w:hAnsi="Arial" w:cs="Arial"/>
            <w:sz w:val="22"/>
            <w:szCs w:val="22"/>
          </w:rPr>
          <w:t>RCGP Sepsis Toolkit</w:t>
        </w:r>
      </w:hyperlink>
      <w:r w:rsidR="006F71B7" w:rsidRPr="003F4D2F">
        <w:rPr>
          <w:rStyle w:val="Hyperlink"/>
          <w:rFonts w:ascii="Arial" w:eastAsiaTheme="majorEastAsia" w:hAnsi="Arial" w:cs="Arial"/>
          <w:color w:val="000000"/>
          <w:sz w:val="22"/>
          <w:szCs w:val="22"/>
          <w:u w:val="none"/>
        </w:rPr>
        <w:t xml:space="preserve"> which</w:t>
      </w:r>
      <w:r w:rsidR="003F4D2F">
        <w:rPr>
          <w:rStyle w:val="Hyperlink"/>
          <w:rFonts w:ascii="Arial" w:eastAsiaTheme="majorEastAsia" w:hAnsi="Arial" w:cs="Arial"/>
          <w:color w:val="000000"/>
          <w:sz w:val="22"/>
          <w:szCs w:val="22"/>
          <w:u w:val="none"/>
        </w:rPr>
        <w:t xml:space="preserve"> contains</w:t>
      </w:r>
      <w:r w:rsidR="006F71B7" w:rsidRPr="006F71B7">
        <w:rPr>
          <w:rFonts w:ascii="Arial" w:hAnsi="Arial" w:cs="Arial"/>
          <w:sz w:val="22"/>
          <w:szCs w:val="22"/>
        </w:rPr>
        <w:t xml:space="preserve"> training resources for reception staff. This can </w:t>
      </w:r>
      <w:r w:rsidR="006F71B7" w:rsidRPr="006F71B7">
        <w:rPr>
          <w:rFonts w:ascii="Arial" w:hAnsi="Arial" w:cs="Arial"/>
          <w:sz w:val="22"/>
          <w:szCs w:val="22"/>
          <w:shd w:val="clear" w:color="auto" w:fill="FFFFFF"/>
        </w:rPr>
        <w:t>promote both confidence and knowledge to raise a concern about an acutely unwell patient.</w:t>
      </w:r>
    </w:p>
    <w:p w14:paraId="2E821BB5" w14:textId="7A8280AA" w:rsidR="005E174E" w:rsidRDefault="0022000E" w:rsidP="005E174E">
      <w:pPr>
        <w:pStyle w:val="Heading2"/>
        <w:rPr>
          <w:rFonts w:ascii="Arial" w:hAnsi="Arial" w:cs="Arial"/>
          <w:smallCaps w:val="0"/>
          <w:sz w:val="24"/>
          <w:szCs w:val="24"/>
          <w:lang w:val="en-GB"/>
        </w:rPr>
      </w:pPr>
      <w:bookmarkStart w:id="348" w:name="_Toc188265305"/>
      <w:r>
        <w:rPr>
          <w:rFonts w:ascii="Arial" w:hAnsi="Arial" w:cs="Arial"/>
          <w:smallCaps w:val="0"/>
          <w:sz w:val="24"/>
          <w:szCs w:val="24"/>
          <w:lang w:val="en-GB"/>
        </w:rPr>
        <w:t>Equipment</w:t>
      </w:r>
      <w:bookmarkEnd w:id="348"/>
    </w:p>
    <w:p w14:paraId="506DC7D8" w14:textId="77777777" w:rsidR="005E174E" w:rsidRPr="005E174E" w:rsidRDefault="005E174E" w:rsidP="005E174E">
      <w:pPr>
        <w:rPr>
          <w:sz w:val="22"/>
          <w:szCs w:val="22"/>
        </w:rPr>
      </w:pPr>
    </w:p>
    <w:p w14:paraId="69CE489B" w14:textId="77777777" w:rsidR="0022000E" w:rsidRDefault="0022000E" w:rsidP="0022000E">
      <w:pPr>
        <w:rPr>
          <w:rFonts w:ascii="Arial" w:eastAsia="Arial" w:hAnsi="Arial" w:cs="Arial"/>
          <w:sz w:val="22"/>
          <w:szCs w:val="22"/>
        </w:rPr>
      </w:pPr>
      <w:r>
        <w:rPr>
          <w:rFonts w:ascii="Arial" w:eastAsia="Arial" w:hAnsi="Arial" w:cs="Arial"/>
          <w:sz w:val="22"/>
          <w:szCs w:val="22"/>
        </w:rPr>
        <w:t>It is imperative that this organisation is prepared to deal with patients suffering from suspected sepsis. Therefore, appropriate emergency equipment must be readily available</w:t>
      </w:r>
      <w:r>
        <w:rPr>
          <w:rFonts w:ascii="Arial" w:eastAsia="Arial" w:hAnsi="Arial" w:cs="Arial"/>
          <w:color w:val="000000"/>
          <w:sz w:val="22"/>
          <w:szCs w:val="22"/>
        </w:rPr>
        <w:t xml:space="preserve"> to assess both adults and children who are suspected of having possible sepsis</w:t>
      </w:r>
      <w:r>
        <w:rPr>
          <w:rFonts w:ascii="Arial" w:eastAsia="Arial" w:hAnsi="Arial" w:cs="Arial"/>
          <w:sz w:val="22"/>
          <w:szCs w:val="22"/>
        </w:rPr>
        <w:t>. Equipment and drugs held should conform to the following guidance:</w:t>
      </w:r>
    </w:p>
    <w:p w14:paraId="29C458D9" w14:textId="77777777" w:rsidR="0022000E" w:rsidRDefault="0022000E" w:rsidP="0022000E">
      <w:pPr>
        <w:rPr>
          <w:rFonts w:ascii="Arial" w:eastAsia="Arial" w:hAnsi="Arial" w:cs="Arial"/>
          <w:sz w:val="22"/>
          <w:szCs w:val="22"/>
        </w:rPr>
      </w:pPr>
    </w:p>
    <w:p w14:paraId="6C913DF1" w14:textId="42057D30" w:rsidR="0022000E" w:rsidRDefault="0022000E" w:rsidP="0022000E">
      <w:pPr>
        <w:pBdr>
          <w:top w:val="nil"/>
          <w:left w:val="nil"/>
          <w:bottom w:val="nil"/>
          <w:right w:val="nil"/>
          <w:between w:val="nil"/>
        </w:pBdr>
        <w:ind w:left="720" w:hanging="360"/>
        <w:rPr>
          <w:rFonts w:ascii="Arial" w:eastAsia="Arial" w:hAnsi="Arial" w:cs="Arial"/>
          <w:color w:val="000000"/>
          <w:sz w:val="22"/>
          <w:szCs w:val="22"/>
        </w:rPr>
      </w:pPr>
      <w:hyperlink r:id="rId24">
        <w:r>
          <w:rPr>
            <w:rFonts w:ascii="Arial" w:eastAsia="Arial" w:hAnsi="Arial" w:cs="Arial"/>
            <w:color w:val="0563C1"/>
            <w:sz w:val="22"/>
            <w:szCs w:val="22"/>
            <w:u w:val="single"/>
          </w:rPr>
          <w:t xml:space="preserve">CQC GP </w:t>
        </w:r>
        <w:r w:rsidR="003F4D2F">
          <w:rPr>
            <w:rFonts w:ascii="Arial" w:eastAsia="Arial" w:hAnsi="Arial" w:cs="Arial"/>
            <w:color w:val="0563C1"/>
            <w:sz w:val="22"/>
            <w:szCs w:val="22"/>
            <w:u w:val="single"/>
          </w:rPr>
          <w:t>m</w:t>
        </w:r>
        <w:r>
          <w:rPr>
            <w:rFonts w:ascii="Arial" w:eastAsia="Arial" w:hAnsi="Arial" w:cs="Arial"/>
            <w:color w:val="0563C1"/>
            <w:sz w:val="22"/>
            <w:szCs w:val="22"/>
            <w:u w:val="single"/>
          </w:rPr>
          <w:t>ythbuster 1: Resuscitation in GP surgeries</w:t>
        </w:r>
      </w:hyperlink>
      <w:r>
        <w:rPr>
          <w:rFonts w:ascii="Arial" w:eastAsia="Arial" w:hAnsi="Arial" w:cs="Arial"/>
          <w:color w:val="000000"/>
          <w:sz w:val="22"/>
          <w:szCs w:val="22"/>
        </w:rPr>
        <w:t xml:space="preserve"> </w:t>
      </w:r>
    </w:p>
    <w:p w14:paraId="1B0240D6" w14:textId="77777777" w:rsidR="0022000E" w:rsidRDefault="0022000E" w:rsidP="0022000E">
      <w:pPr>
        <w:pBdr>
          <w:top w:val="nil"/>
          <w:left w:val="nil"/>
          <w:bottom w:val="nil"/>
          <w:right w:val="nil"/>
          <w:between w:val="nil"/>
        </w:pBdr>
        <w:ind w:left="720" w:hanging="360"/>
        <w:rPr>
          <w:rFonts w:ascii="Arial" w:eastAsia="Arial" w:hAnsi="Arial" w:cs="Arial"/>
          <w:color w:val="000000"/>
          <w:sz w:val="22"/>
          <w:szCs w:val="22"/>
        </w:rPr>
      </w:pPr>
      <w:hyperlink r:id="rId25" w:anchor="equipment">
        <w:r>
          <w:rPr>
            <w:rFonts w:ascii="Arial" w:eastAsia="Arial" w:hAnsi="Arial" w:cs="Arial"/>
            <w:color w:val="0563C1"/>
            <w:sz w:val="22"/>
            <w:szCs w:val="22"/>
            <w:u w:val="single"/>
          </w:rPr>
          <w:t>Resus Council UK: Primary care equipment and drug lists</w:t>
        </w:r>
      </w:hyperlink>
      <w:bookmarkStart w:id="349" w:name="bookmark=id.3rdcrjn" w:colFirst="0" w:colLast="0"/>
      <w:bookmarkEnd w:id="349"/>
    </w:p>
    <w:p w14:paraId="407E1601" w14:textId="124BD173" w:rsidR="0022000E" w:rsidRDefault="0022000E" w:rsidP="0022000E">
      <w:pPr>
        <w:pBdr>
          <w:top w:val="nil"/>
          <w:left w:val="nil"/>
          <w:bottom w:val="nil"/>
          <w:right w:val="nil"/>
          <w:between w:val="nil"/>
        </w:pBdr>
        <w:ind w:left="720" w:hanging="360"/>
        <w:rPr>
          <w:rFonts w:ascii="Arial" w:eastAsia="Arial" w:hAnsi="Arial" w:cs="Arial"/>
          <w:color w:val="000000"/>
          <w:sz w:val="22"/>
          <w:szCs w:val="22"/>
        </w:rPr>
      </w:pPr>
      <w:hyperlink r:id="rId26">
        <w:r>
          <w:rPr>
            <w:rFonts w:ascii="Arial" w:eastAsia="Arial" w:hAnsi="Arial" w:cs="Arial"/>
            <w:color w:val="0563C1"/>
            <w:sz w:val="22"/>
            <w:szCs w:val="22"/>
            <w:u w:val="single"/>
          </w:rPr>
          <w:t xml:space="preserve">CQC GP </w:t>
        </w:r>
        <w:r w:rsidR="003F4D2F">
          <w:rPr>
            <w:rFonts w:ascii="Arial" w:eastAsia="Arial" w:hAnsi="Arial" w:cs="Arial"/>
            <w:color w:val="0563C1"/>
            <w:sz w:val="22"/>
            <w:szCs w:val="22"/>
            <w:u w:val="single"/>
          </w:rPr>
          <w:t>m</w:t>
        </w:r>
        <w:r>
          <w:rPr>
            <w:rFonts w:ascii="Arial" w:eastAsia="Arial" w:hAnsi="Arial" w:cs="Arial"/>
            <w:color w:val="0563C1"/>
            <w:sz w:val="22"/>
            <w:szCs w:val="22"/>
            <w:u w:val="single"/>
          </w:rPr>
          <w:t>ythbuster 9: Emergency medicines for GP practices</w:t>
        </w:r>
      </w:hyperlink>
    </w:p>
    <w:p w14:paraId="401EEA0C" w14:textId="77777777" w:rsidR="0022000E" w:rsidRDefault="0022000E" w:rsidP="0022000E">
      <w:pPr>
        <w:rPr>
          <w:rFonts w:ascii="Arial" w:eastAsia="Arial" w:hAnsi="Arial" w:cs="Arial"/>
          <w:sz w:val="22"/>
          <w:szCs w:val="22"/>
        </w:rPr>
      </w:pPr>
    </w:p>
    <w:p w14:paraId="7D05A559" w14:textId="77777777" w:rsidR="0022000E" w:rsidRDefault="0022000E" w:rsidP="0022000E">
      <w:pPr>
        <w:rPr>
          <w:rFonts w:ascii="Arial" w:eastAsia="Arial" w:hAnsi="Arial" w:cs="Arial"/>
          <w:sz w:val="22"/>
          <w:szCs w:val="22"/>
        </w:rPr>
      </w:pPr>
      <w:r>
        <w:rPr>
          <w:rFonts w:ascii="Arial" w:eastAsia="Arial" w:hAnsi="Arial" w:cs="Arial"/>
          <w:sz w:val="22"/>
          <w:szCs w:val="22"/>
        </w:rPr>
        <w:t xml:space="preserve">Note:  </w:t>
      </w:r>
    </w:p>
    <w:p w14:paraId="5CA5431D" w14:textId="77777777" w:rsidR="0022000E" w:rsidRDefault="0022000E" w:rsidP="0022000E">
      <w:pPr>
        <w:rPr>
          <w:rFonts w:ascii="Arial" w:eastAsia="Arial" w:hAnsi="Arial" w:cs="Arial"/>
          <w:sz w:val="22"/>
          <w:szCs w:val="22"/>
        </w:rPr>
      </w:pPr>
    </w:p>
    <w:p w14:paraId="06024820" w14:textId="3E89A6C3" w:rsidR="0022000E" w:rsidRDefault="0022000E" w:rsidP="0022000E">
      <w:pPr>
        <w:rPr>
          <w:rFonts w:ascii="Arial" w:eastAsia="Arial" w:hAnsi="Arial" w:cs="Arial"/>
          <w:color w:val="000000"/>
          <w:sz w:val="22"/>
          <w:szCs w:val="22"/>
        </w:rPr>
      </w:pPr>
      <w:r>
        <w:rPr>
          <w:rFonts w:ascii="Arial" w:eastAsia="Arial" w:hAnsi="Arial" w:cs="Arial"/>
          <w:sz w:val="22"/>
          <w:szCs w:val="22"/>
        </w:rPr>
        <w:t>All</w:t>
      </w:r>
      <w:r>
        <w:rPr>
          <w:rFonts w:ascii="Arial" w:eastAsia="Arial" w:hAnsi="Arial" w:cs="Arial"/>
          <w:color w:val="000000"/>
          <w:sz w:val="22"/>
          <w:szCs w:val="22"/>
        </w:rPr>
        <w:t xml:space="preserve"> clinical staff are to have an awareness of the Patient Safety Alert </w:t>
      </w:r>
      <w:hyperlink r:id="rId27">
        <w:r>
          <w:rPr>
            <w:rFonts w:ascii="Arial" w:eastAsia="Arial" w:hAnsi="Arial" w:cs="Arial"/>
            <w:color w:val="0563C1"/>
            <w:sz w:val="22"/>
            <w:szCs w:val="22"/>
            <w:u w:val="single"/>
          </w:rPr>
          <w:t>NHS/PSA/W/2018/009</w:t>
        </w:r>
      </w:hyperlink>
      <w:r>
        <w:rPr>
          <w:rFonts w:ascii="Arial" w:eastAsia="Arial" w:hAnsi="Arial" w:cs="Arial"/>
          <w:color w:val="0563C1"/>
          <w:sz w:val="22"/>
          <w:szCs w:val="22"/>
        </w:rPr>
        <w:t xml:space="preserve"> </w:t>
      </w:r>
      <w:r>
        <w:rPr>
          <w:rFonts w:ascii="Arial" w:eastAsia="Arial" w:hAnsi="Arial" w:cs="Arial"/>
          <w:color w:val="000000"/>
          <w:sz w:val="22"/>
          <w:szCs w:val="22"/>
        </w:rPr>
        <w:t>that relates to the placement of pulse oximeter probes.</w:t>
      </w:r>
    </w:p>
    <w:p w14:paraId="2E4748BD" w14:textId="3BCA7926" w:rsidR="0022000E" w:rsidRDefault="0022000E" w:rsidP="0022000E">
      <w:pPr>
        <w:pStyle w:val="Heading2"/>
        <w:rPr>
          <w:rFonts w:ascii="Arial" w:hAnsi="Arial" w:cs="Arial"/>
          <w:smallCaps w:val="0"/>
          <w:sz w:val="24"/>
          <w:szCs w:val="24"/>
          <w:lang w:val="en-GB"/>
        </w:rPr>
      </w:pPr>
      <w:bookmarkStart w:id="350" w:name="_Toc188265306"/>
      <w:r>
        <w:rPr>
          <w:rFonts w:ascii="Arial" w:hAnsi="Arial" w:cs="Arial"/>
          <w:smallCaps w:val="0"/>
          <w:sz w:val="24"/>
          <w:szCs w:val="24"/>
          <w:lang w:val="en-GB"/>
        </w:rPr>
        <w:t>Discussing the unwell patient on the telephone</w:t>
      </w:r>
      <w:bookmarkEnd w:id="350"/>
    </w:p>
    <w:p w14:paraId="7FBE3DB8" w14:textId="77777777" w:rsidR="0022000E" w:rsidRPr="005E174E" w:rsidRDefault="0022000E" w:rsidP="0022000E">
      <w:pPr>
        <w:rPr>
          <w:sz w:val="22"/>
          <w:szCs w:val="22"/>
        </w:rPr>
      </w:pPr>
    </w:p>
    <w:p w14:paraId="2F791481" w14:textId="2044B554" w:rsidR="0022000E" w:rsidRDefault="0022000E" w:rsidP="0022000E">
      <w:pPr>
        <w:rPr>
          <w:rFonts w:ascii="Arial" w:eastAsia="Arial" w:hAnsi="Arial" w:cs="Arial"/>
          <w:sz w:val="22"/>
          <w:szCs w:val="22"/>
        </w:rPr>
      </w:pPr>
      <w:r>
        <w:rPr>
          <w:rFonts w:ascii="Arial" w:eastAsia="Arial" w:hAnsi="Arial" w:cs="Arial"/>
          <w:sz w:val="22"/>
          <w:szCs w:val="22"/>
        </w:rPr>
        <w:t xml:space="preserve">There may be, on occasion, </w:t>
      </w:r>
      <w:r w:rsidR="003F4D2F">
        <w:rPr>
          <w:rFonts w:ascii="Arial" w:eastAsia="Arial" w:hAnsi="Arial" w:cs="Arial"/>
          <w:sz w:val="22"/>
          <w:szCs w:val="22"/>
        </w:rPr>
        <w:t>situations</w:t>
      </w:r>
      <w:r>
        <w:rPr>
          <w:rFonts w:ascii="Arial" w:eastAsia="Arial" w:hAnsi="Arial" w:cs="Arial"/>
          <w:sz w:val="22"/>
          <w:szCs w:val="22"/>
        </w:rPr>
        <w:t xml:space="preserve"> whe</w:t>
      </w:r>
      <w:r w:rsidR="003F4D2F">
        <w:rPr>
          <w:rFonts w:ascii="Arial" w:eastAsia="Arial" w:hAnsi="Arial" w:cs="Arial"/>
          <w:sz w:val="22"/>
          <w:szCs w:val="22"/>
        </w:rPr>
        <w:t>n</w:t>
      </w:r>
      <w:r>
        <w:rPr>
          <w:rFonts w:ascii="Arial" w:eastAsia="Arial" w:hAnsi="Arial" w:cs="Arial"/>
          <w:sz w:val="22"/>
          <w:szCs w:val="22"/>
        </w:rPr>
        <w:t xml:space="preserve"> patients or carers will telephone the organisation requesting an appointment as they are acutely unwell. The receptionist should ask the reason for the appointment and, based upon the information provided (and the level of training they have had), advise the caller that:</w:t>
      </w:r>
    </w:p>
    <w:p w14:paraId="5314722D" w14:textId="77777777" w:rsidR="0022000E" w:rsidRDefault="0022000E" w:rsidP="0022000E">
      <w:pPr>
        <w:rPr>
          <w:rFonts w:ascii="Arial" w:eastAsia="Arial" w:hAnsi="Arial" w:cs="Arial"/>
        </w:rPr>
      </w:pPr>
    </w:p>
    <w:p w14:paraId="526D15F8" w14:textId="77777777" w:rsidR="0022000E" w:rsidRDefault="0022000E" w:rsidP="0022000E">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They should attend the organisation for a priority appointment</w:t>
      </w:r>
    </w:p>
    <w:p w14:paraId="3DF09AF8" w14:textId="77777777" w:rsidR="0022000E" w:rsidRDefault="0022000E" w:rsidP="0022000E">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GP or nurse will call them back to discuss the patient (giving a time frame)</w:t>
      </w:r>
    </w:p>
    <w:p w14:paraId="5275E7B2" w14:textId="77777777" w:rsidR="0022000E" w:rsidRDefault="0022000E" w:rsidP="0022000E">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They should call 111 and seek further guidance</w:t>
      </w:r>
    </w:p>
    <w:p w14:paraId="39BA624C" w14:textId="2C3B974D" w:rsidR="006F71B7" w:rsidRPr="006F71B7" w:rsidRDefault="0022000E" w:rsidP="006F71B7">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They should call an emergency ambulance</w:t>
      </w:r>
    </w:p>
    <w:p w14:paraId="2676C163" w14:textId="09C06EEF" w:rsidR="0022000E" w:rsidRDefault="0022000E" w:rsidP="0022000E">
      <w:pPr>
        <w:pStyle w:val="Heading2"/>
        <w:rPr>
          <w:rFonts w:ascii="Arial" w:hAnsi="Arial" w:cs="Arial"/>
          <w:smallCaps w:val="0"/>
          <w:sz w:val="24"/>
          <w:szCs w:val="24"/>
          <w:lang w:val="en-GB"/>
        </w:rPr>
      </w:pPr>
      <w:bookmarkStart w:id="351" w:name="_Toc188265307"/>
      <w:r>
        <w:rPr>
          <w:rFonts w:ascii="Arial" w:hAnsi="Arial" w:cs="Arial"/>
          <w:smallCaps w:val="0"/>
          <w:sz w:val="24"/>
          <w:szCs w:val="24"/>
          <w:lang w:val="en-GB"/>
        </w:rPr>
        <w:t>Appointment priority</w:t>
      </w:r>
      <w:bookmarkEnd w:id="351"/>
    </w:p>
    <w:p w14:paraId="34E5A94A" w14:textId="77777777" w:rsidR="0022000E" w:rsidRPr="005E174E" w:rsidRDefault="0022000E" w:rsidP="0022000E">
      <w:pPr>
        <w:rPr>
          <w:sz w:val="22"/>
          <w:szCs w:val="22"/>
        </w:rPr>
      </w:pPr>
    </w:p>
    <w:p w14:paraId="42A821F2" w14:textId="77777777" w:rsidR="0022000E" w:rsidRDefault="0022000E" w:rsidP="0022000E">
      <w:pPr>
        <w:rPr>
          <w:rFonts w:ascii="Arial" w:eastAsia="Arial" w:hAnsi="Arial" w:cs="Arial"/>
          <w:color w:val="000000"/>
          <w:sz w:val="22"/>
          <w:szCs w:val="22"/>
        </w:rPr>
      </w:pPr>
      <w:r>
        <w:rPr>
          <w:rFonts w:ascii="Arial" w:eastAsia="Arial" w:hAnsi="Arial" w:cs="Arial"/>
          <w:color w:val="000000"/>
          <w:sz w:val="22"/>
          <w:szCs w:val="22"/>
        </w:rPr>
        <w:t xml:space="preserve">This organisation operates an effective triage system that ensures that patients are seen in accordance with their needs. We deem the under 5s and over 65s to be our most at-risk patient groups and will, when necessary, prioritise these patients for appointments based upon their clinical need. </w:t>
      </w:r>
    </w:p>
    <w:p w14:paraId="472B0F24" w14:textId="77777777" w:rsidR="0022000E" w:rsidRDefault="0022000E" w:rsidP="0022000E">
      <w:pPr>
        <w:rPr>
          <w:rFonts w:ascii="Arial" w:eastAsia="Arial" w:hAnsi="Arial" w:cs="Arial"/>
          <w:sz w:val="22"/>
          <w:szCs w:val="22"/>
        </w:rPr>
      </w:pPr>
    </w:p>
    <w:p w14:paraId="59F0A3D4" w14:textId="77777777" w:rsidR="0022000E" w:rsidRDefault="0022000E" w:rsidP="0022000E">
      <w:pPr>
        <w:rPr>
          <w:rFonts w:ascii="Arial" w:eastAsia="Arial" w:hAnsi="Arial" w:cs="Arial"/>
          <w:sz w:val="22"/>
          <w:szCs w:val="22"/>
        </w:rPr>
      </w:pPr>
      <w:r>
        <w:rPr>
          <w:rFonts w:ascii="Arial" w:eastAsia="Arial" w:hAnsi="Arial" w:cs="Arial"/>
          <w:sz w:val="22"/>
          <w:szCs w:val="22"/>
        </w:rPr>
        <w:t>The assessment and management of the acutely unwell patient may impact on clinic timings and reception staff are to advise patients that, due to an urgent medical need, the clinic is running late and apologise for any inconvenience caused. Any complaints in such instances should be directed to the Practice Manager.</w:t>
      </w:r>
    </w:p>
    <w:p w14:paraId="1B602825" w14:textId="77777777" w:rsidR="0022000E" w:rsidRDefault="0022000E" w:rsidP="0022000E">
      <w:pPr>
        <w:pBdr>
          <w:top w:val="nil"/>
          <w:left w:val="nil"/>
          <w:bottom w:val="nil"/>
          <w:right w:val="nil"/>
          <w:between w:val="nil"/>
        </w:pBdr>
        <w:rPr>
          <w:rFonts w:ascii="Arial" w:eastAsia="Arial" w:hAnsi="Arial" w:cs="Arial"/>
          <w:color w:val="000000"/>
          <w:sz w:val="22"/>
          <w:szCs w:val="22"/>
        </w:rPr>
      </w:pPr>
    </w:p>
    <w:sectPr w:rsidR="0022000E" w:rsidSect="00370A79">
      <w:footerReference w:type="even" r:id="rId28"/>
      <w:footerReference w:type="default" r:id="rId29"/>
      <w:headerReference w:type="first" r:id="rId30"/>
      <w:footerReference w:type="first" r:id="rId31"/>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10F5" w14:textId="77777777" w:rsidR="00E94696" w:rsidRDefault="00E94696" w:rsidP="00D85E4D">
      <w:r>
        <w:separator/>
      </w:r>
    </w:p>
  </w:endnote>
  <w:endnote w:type="continuationSeparator" w:id="0">
    <w:p w14:paraId="6D5DDC4B" w14:textId="77777777" w:rsidR="00E94696" w:rsidRDefault="00E9469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995193"/>
      <w:docPartObj>
        <w:docPartGallery w:val="Page Numbers (Bottom of Page)"/>
        <w:docPartUnique/>
      </w:docPartObj>
    </w:sdtPr>
    <w:sdtContent>
      <w:p w14:paraId="04C27AE5" w14:textId="4E5CDB5C"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BED00" w14:textId="77777777" w:rsidR="00317FEF" w:rsidRDefault="00317FEF" w:rsidP="00370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818422"/>
      <w:docPartObj>
        <w:docPartGallery w:val="Page Numbers (Bottom of Page)"/>
        <w:docPartUnique/>
      </w:docPartObj>
    </w:sdtPr>
    <w:sdtContent>
      <w:p w14:paraId="6C5FC99A" w14:textId="241D16F2"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798E29" w14:textId="1A2D3312" w:rsidR="00317FEF" w:rsidRDefault="00317FEF" w:rsidP="005E174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996976"/>
      <w:docPartObj>
        <w:docPartGallery w:val="Page Numbers (Bottom of Page)"/>
        <w:docPartUnique/>
      </w:docPartObj>
    </w:sdtPr>
    <w:sdtContent>
      <w:p w14:paraId="0A0716C7" w14:textId="77788BEB" w:rsidR="005C6F4A" w:rsidRDefault="005C6F4A" w:rsidP="0031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57A36E" w14:textId="303C2F6E" w:rsidR="005C6F4A" w:rsidRDefault="005C6F4A" w:rsidP="005E174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2791" w14:textId="77777777" w:rsidR="00E94696" w:rsidRDefault="00E94696" w:rsidP="00D85E4D">
      <w:r>
        <w:separator/>
      </w:r>
    </w:p>
  </w:footnote>
  <w:footnote w:type="continuationSeparator" w:id="0">
    <w:p w14:paraId="15607F1A" w14:textId="77777777" w:rsidR="00E94696" w:rsidRDefault="00E9469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D2D4" w14:textId="04BC7CDA" w:rsidR="003610FD" w:rsidRPr="003E2BAC" w:rsidRDefault="00824F05" w:rsidP="003610FD">
    <w:pPr>
      <w:jc w:val="center"/>
      <w:rPr>
        <w:rFonts w:ascii="Arial" w:eastAsia="Arial" w:hAnsi="Arial" w:cs="Arial"/>
        <w:b/>
        <w:sz w:val="36"/>
        <w:szCs w:val="36"/>
      </w:rPr>
    </w:pPr>
    <w:r>
      <w:rPr>
        <w:rFonts w:ascii="Arial" w:eastAsia="Arial" w:hAnsi="Arial" w:cs="Arial"/>
        <w:b/>
        <w:sz w:val="36"/>
        <w:szCs w:val="36"/>
      </w:rPr>
      <w:t>Sheerwater Health Centre</w:t>
    </w:r>
  </w:p>
  <w:p w14:paraId="00CEB365" w14:textId="77777777" w:rsidR="003610FD" w:rsidRDefault="0036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02B"/>
    <w:multiLevelType w:val="multilevel"/>
    <w:tmpl w:val="7C1C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3539CF"/>
    <w:multiLevelType w:val="multilevel"/>
    <w:tmpl w:val="FE84A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8B5E6F"/>
    <w:multiLevelType w:val="multilevel"/>
    <w:tmpl w:val="287A4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8BA17B7"/>
    <w:multiLevelType w:val="multilevel"/>
    <w:tmpl w:val="06566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08D5291"/>
    <w:multiLevelType w:val="multilevel"/>
    <w:tmpl w:val="BC40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BD41E8"/>
    <w:multiLevelType w:val="multilevel"/>
    <w:tmpl w:val="4EEE8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4EE740C9"/>
    <w:multiLevelType w:val="multilevel"/>
    <w:tmpl w:val="1DAC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377CCB"/>
    <w:multiLevelType w:val="multilevel"/>
    <w:tmpl w:val="BA2CE1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E732A44"/>
    <w:multiLevelType w:val="multilevel"/>
    <w:tmpl w:val="45927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BA0943"/>
    <w:multiLevelType w:val="multilevel"/>
    <w:tmpl w:val="E53A8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CA11B0"/>
    <w:multiLevelType w:val="multilevel"/>
    <w:tmpl w:val="84C85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0307677">
    <w:abstractNumId w:val="2"/>
  </w:num>
  <w:num w:numId="2" w16cid:durableId="1888754458">
    <w:abstractNumId w:val="7"/>
  </w:num>
  <w:num w:numId="3" w16cid:durableId="107939672">
    <w:abstractNumId w:val="9"/>
  </w:num>
  <w:num w:numId="4" w16cid:durableId="2143109065">
    <w:abstractNumId w:val="3"/>
  </w:num>
  <w:num w:numId="5" w16cid:durableId="776214124">
    <w:abstractNumId w:val="5"/>
  </w:num>
  <w:num w:numId="6" w16cid:durableId="1064984001">
    <w:abstractNumId w:val="10"/>
  </w:num>
  <w:num w:numId="7" w16cid:durableId="1237517019">
    <w:abstractNumId w:val="6"/>
  </w:num>
  <w:num w:numId="8" w16cid:durableId="502281073">
    <w:abstractNumId w:val="4"/>
  </w:num>
  <w:num w:numId="9" w16cid:durableId="70006990">
    <w:abstractNumId w:val="1"/>
  </w:num>
  <w:num w:numId="10" w16cid:durableId="964433147">
    <w:abstractNumId w:val="0"/>
  </w:num>
  <w:num w:numId="11" w16cid:durableId="214001874">
    <w:abstractNumId w:val="12"/>
  </w:num>
  <w:num w:numId="12" w16cid:durableId="1036615433">
    <w:abstractNumId w:val="11"/>
  </w:num>
  <w:num w:numId="13" w16cid:durableId="88244785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27001"/>
    <w:rsid w:val="00033240"/>
    <w:rsid w:val="00034269"/>
    <w:rsid w:val="00034C0F"/>
    <w:rsid w:val="000353E8"/>
    <w:rsid w:val="00044905"/>
    <w:rsid w:val="00046F3C"/>
    <w:rsid w:val="00051838"/>
    <w:rsid w:val="00056FDE"/>
    <w:rsid w:val="000606A2"/>
    <w:rsid w:val="000625A3"/>
    <w:rsid w:val="00066D92"/>
    <w:rsid w:val="00067DD3"/>
    <w:rsid w:val="00075116"/>
    <w:rsid w:val="00075213"/>
    <w:rsid w:val="0008472C"/>
    <w:rsid w:val="000858D5"/>
    <w:rsid w:val="00087089"/>
    <w:rsid w:val="00091880"/>
    <w:rsid w:val="000918BB"/>
    <w:rsid w:val="00091E92"/>
    <w:rsid w:val="00094747"/>
    <w:rsid w:val="000A2B65"/>
    <w:rsid w:val="000A4058"/>
    <w:rsid w:val="000B0F2F"/>
    <w:rsid w:val="000B1489"/>
    <w:rsid w:val="000B3B57"/>
    <w:rsid w:val="000C69F7"/>
    <w:rsid w:val="000D0020"/>
    <w:rsid w:val="000D1664"/>
    <w:rsid w:val="000E40A8"/>
    <w:rsid w:val="000E4386"/>
    <w:rsid w:val="000F35E7"/>
    <w:rsid w:val="000F4553"/>
    <w:rsid w:val="000F4FBA"/>
    <w:rsid w:val="000F50CE"/>
    <w:rsid w:val="000F5FF7"/>
    <w:rsid w:val="001037C5"/>
    <w:rsid w:val="00104BB1"/>
    <w:rsid w:val="0010617A"/>
    <w:rsid w:val="00106582"/>
    <w:rsid w:val="00111E00"/>
    <w:rsid w:val="001128AD"/>
    <w:rsid w:val="00115E6D"/>
    <w:rsid w:val="00117E15"/>
    <w:rsid w:val="00120450"/>
    <w:rsid w:val="0012156A"/>
    <w:rsid w:val="00122561"/>
    <w:rsid w:val="00136A91"/>
    <w:rsid w:val="00137AFD"/>
    <w:rsid w:val="001429C3"/>
    <w:rsid w:val="00143C50"/>
    <w:rsid w:val="00144A86"/>
    <w:rsid w:val="00145BEC"/>
    <w:rsid w:val="00152800"/>
    <w:rsid w:val="00153E6D"/>
    <w:rsid w:val="00154311"/>
    <w:rsid w:val="00156D3F"/>
    <w:rsid w:val="00160F3C"/>
    <w:rsid w:val="00161C49"/>
    <w:rsid w:val="00163190"/>
    <w:rsid w:val="00163384"/>
    <w:rsid w:val="00165728"/>
    <w:rsid w:val="00166F39"/>
    <w:rsid w:val="00167C93"/>
    <w:rsid w:val="00172858"/>
    <w:rsid w:val="00172ACD"/>
    <w:rsid w:val="00173BF9"/>
    <w:rsid w:val="0017440E"/>
    <w:rsid w:val="001776F2"/>
    <w:rsid w:val="00180579"/>
    <w:rsid w:val="00182759"/>
    <w:rsid w:val="00182F4B"/>
    <w:rsid w:val="00186A64"/>
    <w:rsid w:val="001872B9"/>
    <w:rsid w:val="00190C4A"/>
    <w:rsid w:val="0019118A"/>
    <w:rsid w:val="00192901"/>
    <w:rsid w:val="00193CD7"/>
    <w:rsid w:val="00193FD6"/>
    <w:rsid w:val="00194D5E"/>
    <w:rsid w:val="00196B59"/>
    <w:rsid w:val="00197E1C"/>
    <w:rsid w:val="001A01D7"/>
    <w:rsid w:val="001A0EF1"/>
    <w:rsid w:val="001A437A"/>
    <w:rsid w:val="001A743D"/>
    <w:rsid w:val="001A7A41"/>
    <w:rsid w:val="001B1331"/>
    <w:rsid w:val="001B15E6"/>
    <w:rsid w:val="001B1CA8"/>
    <w:rsid w:val="001B497E"/>
    <w:rsid w:val="001C2EC0"/>
    <w:rsid w:val="001C6E28"/>
    <w:rsid w:val="001D2DE2"/>
    <w:rsid w:val="001E0150"/>
    <w:rsid w:val="001E19AA"/>
    <w:rsid w:val="001E31F8"/>
    <w:rsid w:val="001E43A9"/>
    <w:rsid w:val="001E7CF7"/>
    <w:rsid w:val="001F0A98"/>
    <w:rsid w:val="001F3AB0"/>
    <w:rsid w:val="001F3D85"/>
    <w:rsid w:val="001F4257"/>
    <w:rsid w:val="001F4E63"/>
    <w:rsid w:val="001F5A48"/>
    <w:rsid w:val="0020113D"/>
    <w:rsid w:val="00203BFC"/>
    <w:rsid w:val="00205324"/>
    <w:rsid w:val="00205586"/>
    <w:rsid w:val="00206BA6"/>
    <w:rsid w:val="00207F39"/>
    <w:rsid w:val="00207FE6"/>
    <w:rsid w:val="0021157C"/>
    <w:rsid w:val="00214FAE"/>
    <w:rsid w:val="002154D1"/>
    <w:rsid w:val="00216989"/>
    <w:rsid w:val="0022000E"/>
    <w:rsid w:val="00222365"/>
    <w:rsid w:val="00224955"/>
    <w:rsid w:val="00230CFB"/>
    <w:rsid w:val="00231321"/>
    <w:rsid w:val="00231DAE"/>
    <w:rsid w:val="00244A17"/>
    <w:rsid w:val="00245C51"/>
    <w:rsid w:val="0024704E"/>
    <w:rsid w:val="002507DA"/>
    <w:rsid w:val="002543AE"/>
    <w:rsid w:val="0026464B"/>
    <w:rsid w:val="00273E7C"/>
    <w:rsid w:val="002746F3"/>
    <w:rsid w:val="00275E4A"/>
    <w:rsid w:val="002761CA"/>
    <w:rsid w:val="00286E00"/>
    <w:rsid w:val="00287693"/>
    <w:rsid w:val="00287BB6"/>
    <w:rsid w:val="00291758"/>
    <w:rsid w:val="00292EA0"/>
    <w:rsid w:val="0029468F"/>
    <w:rsid w:val="00295507"/>
    <w:rsid w:val="00296404"/>
    <w:rsid w:val="002A026E"/>
    <w:rsid w:val="002A0910"/>
    <w:rsid w:val="002A112D"/>
    <w:rsid w:val="002A204F"/>
    <w:rsid w:val="002B235E"/>
    <w:rsid w:val="002B437A"/>
    <w:rsid w:val="002C0F0A"/>
    <w:rsid w:val="002C2CC0"/>
    <w:rsid w:val="002C4969"/>
    <w:rsid w:val="002C6527"/>
    <w:rsid w:val="002C6747"/>
    <w:rsid w:val="002C7508"/>
    <w:rsid w:val="002D18C1"/>
    <w:rsid w:val="002D47E2"/>
    <w:rsid w:val="002D48FF"/>
    <w:rsid w:val="002F1096"/>
    <w:rsid w:val="002F1D75"/>
    <w:rsid w:val="002F4808"/>
    <w:rsid w:val="002F74B5"/>
    <w:rsid w:val="003000BD"/>
    <w:rsid w:val="00300373"/>
    <w:rsid w:val="00305F55"/>
    <w:rsid w:val="00311998"/>
    <w:rsid w:val="0031325B"/>
    <w:rsid w:val="00314A09"/>
    <w:rsid w:val="00317FEF"/>
    <w:rsid w:val="00320B47"/>
    <w:rsid w:val="00320E3F"/>
    <w:rsid w:val="00321B81"/>
    <w:rsid w:val="003223D3"/>
    <w:rsid w:val="00323FEE"/>
    <w:rsid w:val="00326354"/>
    <w:rsid w:val="00341294"/>
    <w:rsid w:val="003412F1"/>
    <w:rsid w:val="00343E43"/>
    <w:rsid w:val="0034675F"/>
    <w:rsid w:val="00347DAD"/>
    <w:rsid w:val="0035306F"/>
    <w:rsid w:val="003535A8"/>
    <w:rsid w:val="003569FD"/>
    <w:rsid w:val="00357D85"/>
    <w:rsid w:val="003610FD"/>
    <w:rsid w:val="0036125C"/>
    <w:rsid w:val="00361EBF"/>
    <w:rsid w:val="00366213"/>
    <w:rsid w:val="00366CEC"/>
    <w:rsid w:val="00367A39"/>
    <w:rsid w:val="00367F30"/>
    <w:rsid w:val="00370A79"/>
    <w:rsid w:val="00375D0C"/>
    <w:rsid w:val="003833EE"/>
    <w:rsid w:val="0038636B"/>
    <w:rsid w:val="003870E1"/>
    <w:rsid w:val="00390205"/>
    <w:rsid w:val="00390AB8"/>
    <w:rsid w:val="00391535"/>
    <w:rsid w:val="00392880"/>
    <w:rsid w:val="00395603"/>
    <w:rsid w:val="003964F7"/>
    <w:rsid w:val="003967BE"/>
    <w:rsid w:val="003A0199"/>
    <w:rsid w:val="003A08C7"/>
    <w:rsid w:val="003A6C64"/>
    <w:rsid w:val="003A6E90"/>
    <w:rsid w:val="003A728A"/>
    <w:rsid w:val="003B18C7"/>
    <w:rsid w:val="003B36AA"/>
    <w:rsid w:val="003B55CF"/>
    <w:rsid w:val="003C0710"/>
    <w:rsid w:val="003C0944"/>
    <w:rsid w:val="003C1644"/>
    <w:rsid w:val="003C74FD"/>
    <w:rsid w:val="003D648E"/>
    <w:rsid w:val="003D679B"/>
    <w:rsid w:val="003D7BC6"/>
    <w:rsid w:val="003E1C4C"/>
    <w:rsid w:val="003E2BAC"/>
    <w:rsid w:val="003E33A0"/>
    <w:rsid w:val="003E636C"/>
    <w:rsid w:val="003E668B"/>
    <w:rsid w:val="003E72F8"/>
    <w:rsid w:val="003F30B1"/>
    <w:rsid w:val="003F36B9"/>
    <w:rsid w:val="003F4D2F"/>
    <w:rsid w:val="003F6E45"/>
    <w:rsid w:val="003F712F"/>
    <w:rsid w:val="00404959"/>
    <w:rsid w:val="004057EE"/>
    <w:rsid w:val="00411341"/>
    <w:rsid w:val="00411AF8"/>
    <w:rsid w:val="004163D3"/>
    <w:rsid w:val="00424331"/>
    <w:rsid w:val="00425686"/>
    <w:rsid w:val="00432181"/>
    <w:rsid w:val="00432EBD"/>
    <w:rsid w:val="0043549F"/>
    <w:rsid w:val="0044097E"/>
    <w:rsid w:val="00442BCE"/>
    <w:rsid w:val="004436A8"/>
    <w:rsid w:val="00446D8F"/>
    <w:rsid w:val="00447440"/>
    <w:rsid w:val="00452A62"/>
    <w:rsid w:val="00453016"/>
    <w:rsid w:val="00455384"/>
    <w:rsid w:val="004602EF"/>
    <w:rsid w:val="00460BA9"/>
    <w:rsid w:val="00464F50"/>
    <w:rsid w:val="004660C6"/>
    <w:rsid w:val="004674C5"/>
    <w:rsid w:val="004763A7"/>
    <w:rsid w:val="0048557B"/>
    <w:rsid w:val="00485A3C"/>
    <w:rsid w:val="00491C62"/>
    <w:rsid w:val="00496B8A"/>
    <w:rsid w:val="00496FB1"/>
    <w:rsid w:val="004A2D8A"/>
    <w:rsid w:val="004A604E"/>
    <w:rsid w:val="004B24D9"/>
    <w:rsid w:val="004C2F15"/>
    <w:rsid w:val="004C5D83"/>
    <w:rsid w:val="004C604E"/>
    <w:rsid w:val="004C6A88"/>
    <w:rsid w:val="004C714D"/>
    <w:rsid w:val="004C7CDB"/>
    <w:rsid w:val="004D4FB9"/>
    <w:rsid w:val="004D522E"/>
    <w:rsid w:val="004D70AD"/>
    <w:rsid w:val="004E0333"/>
    <w:rsid w:val="004E1BB6"/>
    <w:rsid w:val="004E32E5"/>
    <w:rsid w:val="004E458A"/>
    <w:rsid w:val="004E5722"/>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5291"/>
    <w:rsid w:val="005153E9"/>
    <w:rsid w:val="0052788A"/>
    <w:rsid w:val="00527B68"/>
    <w:rsid w:val="00533A41"/>
    <w:rsid w:val="005357F6"/>
    <w:rsid w:val="00537D27"/>
    <w:rsid w:val="005407DE"/>
    <w:rsid w:val="0054267D"/>
    <w:rsid w:val="005426F8"/>
    <w:rsid w:val="00543467"/>
    <w:rsid w:val="005437A8"/>
    <w:rsid w:val="0054617B"/>
    <w:rsid w:val="005465EA"/>
    <w:rsid w:val="00547833"/>
    <w:rsid w:val="00551712"/>
    <w:rsid w:val="00554130"/>
    <w:rsid w:val="00554E43"/>
    <w:rsid w:val="005552B7"/>
    <w:rsid w:val="00562388"/>
    <w:rsid w:val="005629E0"/>
    <w:rsid w:val="00565313"/>
    <w:rsid w:val="00573E13"/>
    <w:rsid w:val="00574ADC"/>
    <w:rsid w:val="00576B6A"/>
    <w:rsid w:val="00577116"/>
    <w:rsid w:val="005779A2"/>
    <w:rsid w:val="005823DE"/>
    <w:rsid w:val="0058488C"/>
    <w:rsid w:val="005923E7"/>
    <w:rsid w:val="005A1505"/>
    <w:rsid w:val="005A2B1C"/>
    <w:rsid w:val="005A2F40"/>
    <w:rsid w:val="005A369E"/>
    <w:rsid w:val="005A7718"/>
    <w:rsid w:val="005B058D"/>
    <w:rsid w:val="005B2F37"/>
    <w:rsid w:val="005B3803"/>
    <w:rsid w:val="005B71FE"/>
    <w:rsid w:val="005C0233"/>
    <w:rsid w:val="005C0DC5"/>
    <w:rsid w:val="005C59B4"/>
    <w:rsid w:val="005C6F4A"/>
    <w:rsid w:val="005C74B6"/>
    <w:rsid w:val="005C7AF6"/>
    <w:rsid w:val="005D0293"/>
    <w:rsid w:val="005D1E8D"/>
    <w:rsid w:val="005E174E"/>
    <w:rsid w:val="005E4FBB"/>
    <w:rsid w:val="005E6C5F"/>
    <w:rsid w:val="005E7268"/>
    <w:rsid w:val="005E7877"/>
    <w:rsid w:val="005F2583"/>
    <w:rsid w:val="00600418"/>
    <w:rsid w:val="0060308B"/>
    <w:rsid w:val="0061063B"/>
    <w:rsid w:val="006125D6"/>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728BD"/>
    <w:rsid w:val="00674887"/>
    <w:rsid w:val="00675084"/>
    <w:rsid w:val="00676A23"/>
    <w:rsid w:val="006772E9"/>
    <w:rsid w:val="00677D3D"/>
    <w:rsid w:val="00680184"/>
    <w:rsid w:val="00681FDF"/>
    <w:rsid w:val="00682B45"/>
    <w:rsid w:val="0068371D"/>
    <w:rsid w:val="00683F4D"/>
    <w:rsid w:val="00684F05"/>
    <w:rsid w:val="00692ED5"/>
    <w:rsid w:val="00692EDD"/>
    <w:rsid w:val="00694398"/>
    <w:rsid w:val="00695BD9"/>
    <w:rsid w:val="00696DAC"/>
    <w:rsid w:val="006A4A2A"/>
    <w:rsid w:val="006A554D"/>
    <w:rsid w:val="006B5623"/>
    <w:rsid w:val="006B6861"/>
    <w:rsid w:val="006C289F"/>
    <w:rsid w:val="006C2D92"/>
    <w:rsid w:val="006C4D5E"/>
    <w:rsid w:val="006C5288"/>
    <w:rsid w:val="006C7E66"/>
    <w:rsid w:val="006D01D9"/>
    <w:rsid w:val="006D4DAD"/>
    <w:rsid w:val="006D50CB"/>
    <w:rsid w:val="006D7334"/>
    <w:rsid w:val="006E1BEC"/>
    <w:rsid w:val="006E2467"/>
    <w:rsid w:val="006E46ED"/>
    <w:rsid w:val="006E64C5"/>
    <w:rsid w:val="006F6E6B"/>
    <w:rsid w:val="006F71B7"/>
    <w:rsid w:val="0070349E"/>
    <w:rsid w:val="00704460"/>
    <w:rsid w:val="00706651"/>
    <w:rsid w:val="007101F4"/>
    <w:rsid w:val="0071169A"/>
    <w:rsid w:val="007131CE"/>
    <w:rsid w:val="00713EF4"/>
    <w:rsid w:val="00714479"/>
    <w:rsid w:val="0071583A"/>
    <w:rsid w:val="00717919"/>
    <w:rsid w:val="00727F1E"/>
    <w:rsid w:val="00730CC3"/>
    <w:rsid w:val="007326E3"/>
    <w:rsid w:val="00733B2B"/>
    <w:rsid w:val="00735642"/>
    <w:rsid w:val="00736630"/>
    <w:rsid w:val="00736795"/>
    <w:rsid w:val="00741138"/>
    <w:rsid w:val="00741807"/>
    <w:rsid w:val="00746670"/>
    <w:rsid w:val="00747A6B"/>
    <w:rsid w:val="00750272"/>
    <w:rsid w:val="0075516F"/>
    <w:rsid w:val="00755D01"/>
    <w:rsid w:val="00757E56"/>
    <w:rsid w:val="00774E74"/>
    <w:rsid w:val="00783572"/>
    <w:rsid w:val="0078433E"/>
    <w:rsid w:val="007869B6"/>
    <w:rsid w:val="00791DD4"/>
    <w:rsid w:val="00796159"/>
    <w:rsid w:val="00797206"/>
    <w:rsid w:val="007A51A6"/>
    <w:rsid w:val="007B0D1C"/>
    <w:rsid w:val="007B513C"/>
    <w:rsid w:val="007B7120"/>
    <w:rsid w:val="007C1610"/>
    <w:rsid w:val="007C4EA7"/>
    <w:rsid w:val="007C657E"/>
    <w:rsid w:val="007D36E5"/>
    <w:rsid w:val="007E3C3B"/>
    <w:rsid w:val="007E4E9F"/>
    <w:rsid w:val="007E7B35"/>
    <w:rsid w:val="007F1958"/>
    <w:rsid w:val="007F68DA"/>
    <w:rsid w:val="008039BE"/>
    <w:rsid w:val="008051A2"/>
    <w:rsid w:val="00807DB8"/>
    <w:rsid w:val="00810DC2"/>
    <w:rsid w:val="008113D7"/>
    <w:rsid w:val="0081531F"/>
    <w:rsid w:val="008155B4"/>
    <w:rsid w:val="008230A1"/>
    <w:rsid w:val="00824054"/>
    <w:rsid w:val="00824F05"/>
    <w:rsid w:val="00835FFA"/>
    <w:rsid w:val="00837E95"/>
    <w:rsid w:val="00847705"/>
    <w:rsid w:val="008501C3"/>
    <w:rsid w:val="00851BDA"/>
    <w:rsid w:val="008603AE"/>
    <w:rsid w:val="00862EB6"/>
    <w:rsid w:val="00863260"/>
    <w:rsid w:val="00864CB5"/>
    <w:rsid w:val="008727CB"/>
    <w:rsid w:val="00873345"/>
    <w:rsid w:val="00874874"/>
    <w:rsid w:val="00876911"/>
    <w:rsid w:val="00876F26"/>
    <w:rsid w:val="008804AC"/>
    <w:rsid w:val="00882350"/>
    <w:rsid w:val="00884F9C"/>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7D0C"/>
    <w:rsid w:val="008C1D8B"/>
    <w:rsid w:val="008C2AEF"/>
    <w:rsid w:val="008C4C49"/>
    <w:rsid w:val="008C5DC8"/>
    <w:rsid w:val="008C6AD8"/>
    <w:rsid w:val="008D5E2A"/>
    <w:rsid w:val="008E0624"/>
    <w:rsid w:val="008E2746"/>
    <w:rsid w:val="008F185C"/>
    <w:rsid w:val="008F3036"/>
    <w:rsid w:val="008F4B4C"/>
    <w:rsid w:val="008F7CE6"/>
    <w:rsid w:val="009028BB"/>
    <w:rsid w:val="00913802"/>
    <w:rsid w:val="009235C1"/>
    <w:rsid w:val="009249CB"/>
    <w:rsid w:val="009275ED"/>
    <w:rsid w:val="00931791"/>
    <w:rsid w:val="009320AB"/>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5FEA"/>
    <w:rsid w:val="00967BAD"/>
    <w:rsid w:val="0097074D"/>
    <w:rsid w:val="00972911"/>
    <w:rsid w:val="009755AA"/>
    <w:rsid w:val="00982EB3"/>
    <w:rsid w:val="009860EE"/>
    <w:rsid w:val="009865FC"/>
    <w:rsid w:val="00986B04"/>
    <w:rsid w:val="009934CF"/>
    <w:rsid w:val="009A2C28"/>
    <w:rsid w:val="009A2E71"/>
    <w:rsid w:val="009A384E"/>
    <w:rsid w:val="009A5353"/>
    <w:rsid w:val="009A603A"/>
    <w:rsid w:val="009A6972"/>
    <w:rsid w:val="009A7CF4"/>
    <w:rsid w:val="009B4131"/>
    <w:rsid w:val="009C0A91"/>
    <w:rsid w:val="009C0CD9"/>
    <w:rsid w:val="009C12C1"/>
    <w:rsid w:val="009C457D"/>
    <w:rsid w:val="009C4960"/>
    <w:rsid w:val="009C5B8C"/>
    <w:rsid w:val="009C7290"/>
    <w:rsid w:val="009C7A18"/>
    <w:rsid w:val="009D3BBE"/>
    <w:rsid w:val="009D5CCB"/>
    <w:rsid w:val="009E1FB2"/>
    <w:rsid w:val="009E44EC"/>
    <w:rsid w:val="009E61BD"/>
    <w:rsid w:val="009F3854"/>
    <w:rsid w:val="009F75EF"/>
    <w:rsid w:val="009F7D36"/>
    <w:rsid w:val="00A01D21"/>
    <w:rsid w:val="00A03997"/>
    <w:rsid w:val="00A12A6E"/>
    <w:rsid w:val="00A17072"/>
    <w:rsid w:val="00A208DB"/>
    <w:rsid w:val="00A22B50"/>
    <w:rsid w:val="00A26A10"/>
    <w:rsid w:val="00A27660"/>
    <w:rsid w:val="00A355F3"/>
    <w:rsid w:val="00A35CD2"/>
    <w:rsid w:val="00A36AC0"/>
    <w:rsid w:val="00A41B77"/>
    <w:rsid w:val="00A44B2D"/>
    <w:rsid w:val="00A461AE"/>
    <w:rsid w:val="00A47272"/>
    <w:rsid w:val="00A5043E"/>
    <w:rsid w:val="00A54790"/>
    <w:rsid w:val="00A57DBD"/>
    <w:rsid w:val="00A61D4D"/>
    <w:rsid w:val="00A62D77"/>
    <w:rsid w:val="00A70522"/>
    <w:rsid w:val="00A72123"/>
    <w:rsid w:val="00A721EE"/>
    <w:rsid w:val="00A724C7"/>
    <w:rsid w:val="00A74D11"/>
    <w:rsid w:val="00A800BB"/>
    <w:rsid w:val="00A83D27"/>
    <w:rsid w:val="00A8480E"/>
    <w:rsid w:val="00A90978"/>
    <w:rsid w:val="00A910EC"/>
    <w:rsid w:val="00A93484"/>
    <w:rsid w:val="00A947A6"/>
    <w:rsid w:val="00A97622"/>
    <w:rsid w:val="00AA08B8"/>
    <w:rsid w:val="00AB3844"/>
    <w:rsid w:val="00AC0585"/>
    <w:rsid w:val="00AC2677"/>
    <w:rsid w:val="00AC69A7"/>
    <w:rsid w:val="00AD232F"/>
    <w:rsid w:val="00AD45AA"/>
    <w:rsid w:val="00AE091B"/>
    <w:rsid w:val="00AE22ED"/>
    <w:rsid w:val="00AE4271"/>
    <w:rsid w:val="00AE4BBE"/>
    <w:rsid w:val="00AF3B58"/>
    <w:rsid w:val="00AF3BF2"/>
    <w:rsid w:val="00AF3C9B"/>
    <w:rsid w:val="00AF4808"/>
    <w:rsid w:val="00AF4A88"/>
    <w:rsid w:val="00AF7B03"/>
    <w:rsid w:val="00B01352"/>
    <w:rsid w:val="00B15EBD"/>
    <w:rsid w:val="00B16BA3"/>
    <w:rsid w:val="00B16F5B"/>
    <w:rsid w:val="00B204C0"/>
    <w:rsid w:val="00B211D0"/>
    <w:rsid w:val="00B220DF"/>
    <w:rsid w:val="00B22E1E"/>
    <w:rsid w:val="00B22E32"/>
    <w:rsid w:val="00B2339A"/>
    <w:rsid w:val="00B2740A"/>
    <w:rsid w:val="00B27AE7"/>
    <w:rsid w:val="00B35D79"/>
    <w:rsid w:val="00B36E43"/>
    <w:rsid w:val="00B4090D"/>
    <w:rsid w:val="00B46043"/>
    <w:rsid w:val="00B5049E"/>
    <w:rsid w:val="00B506CA"/>
    <w:rsid w:val="00B50982"/>
    <w:rsid w:val="00B533B3"/>
    <w:rsid w:val="00B53D92"/>
    <w:rsid w:val="00B540E9"/>
    <w:rsid w:val="00B61F5E"/>
    <w:rsid w:val="00B62440"/>
    <w:rsid w:val="00B72F4B"/>
    <w:rsid w:val="00B74D98"/>
    <w:rsid w:val="00B75EA9"/>
    <w:rsid w:val="00B806DF"/>
    <w:rsid w:val="00B8123D"/>
    <w:rsid w:val="00B9454C"/>
    <w:rsid w:val="00B9606A"/>
    <w:rsid w:val="00B960B0"/>
    <w:rsid w:val="00BA02C9"/>
    <w:rsid w:val="00BA0A43"/>
    <w:rsid w:val="00BA1F2F"/>
    <w:rsid w:val="00BA2487"/>
    <w:rsid w:val="00BA435D"/>
    <w:rsid w:val="00BA4461"/>
    <w:rsid w:val="00BB3D66"/>
    <w:rsid w:val="00BB564E"/>
    <w:rsid w:val="00BC1491"/>
    <w:rsid w:val="00BC4176"/>
    <w:rsid w:val="00BD1575"/>
    <w:rsid w:val="00BD29A7"/>
    <w:rsid w:val="00BD3A47"/>
    <w:rsid w:val="00BE003C"/>
    <w:rsid w:val="00BE2E8A"/>
    <w:rsid w:val="00BE3256"/>
    <w:rsid w:val="00BE3973"/>
    <w:rsid w:val="00BE3A3E"/>
    <w:rsid w:val="00BE4B68"/>
    <w:rsid w:val="00BF29E0"/>
    <w:rsid w:val="00BF2B7C"/>
    <w:rsid w:val="00BF33F6"/>
    <w:rsid w:val="00BF343F"/>
    <w:rsid w:val="00C0016B"/>
    <w:rsid w:val="00C02801"/>
    <w:rsid w:val="00C0321F"/>
    <w:rsid w:val="00C033F2"/>
    <w:rsid w:val="00C037B7"/>
    <w:rsid w:val="00C03FFA"/>
    <w:rsid w:val="00C069CC"/>
    <w:rsid w:val="00C12A63"/>
    <w:rsid w:val="00C131D4"/>
    <w:rsid w:val="00C1542B"/>
    <w:rsid w:val="00C20344"/>
    <w:rsid w:val="00C22256"/>
    <w:rsid w:val="00C25D28"/>
    <w:rsid w:val="00C33A95"/>
    <w:rsid w:val="00C33DE4"/>
    <w:rsid w:val="00C35294"/>
    <w:rsid w:val="00C35CA3"/>
    <w:rsid w:val="00C414B0"/>
    <w:rsid w:val="00C427C6"/>
    <w:rsid w:val="00C431E9"/>
    <w:rsid w:val="00C47413"/>
    <w:rsid w:val="00C67444"/>
    <w:rsid w:val="00C67ECD"/>
    <w:rsid w:val="00C7065B"/>
    <w:rsid w:val="00C72CB5"/>
    <w:rsid w:val="00C77205"/>
    <w:rsid w:val="00C802F0"/>
    <w:rsid w:val="00C80B1A"/>
    <w:rsid w:val="00C81CDC"/>
    <w:rsid w:val="00C957F6"/>
    <w:rsid w:val="00C97BA7"/>
    <w:rsid w:val="00CB39DE"/>
    <w:rsid w:val="00CB6866"/>
    <w:rsid w:val="00CC39C1"/>
    <w:rsid w:val="00CC39F4"/>
    <w:rsid w:val="00CC7229"/>
    <w:rsid w:val="00CC79BD"/>
    <w:rsid w:val="00CD15FC"/>
    <w:rsid w:val="00CD182C"/>
    <w:rsid w:val="00CD2BD0"/>
    <w:rsid w:val="00CD341B"/>
    <w:rsid w:val="00CD4001"/>
    <w:rsid w:val="00CD5635"/>
    <w:rsid w:val="00CD5C0E"/>
    <w:rsid w:val="00CD64A4"/>
    <w:rsid w:val="00CD7147"/>
    <w:rsid w:val="00CE2240"/>
    <w:rsid w:val="00CE2ECD"/>
    <w:rsid w:val="00CE4FF9"/>
    <w:rsid w:val="00CF23C3"/>
    <w:rsid w:val="00CF3BE4"/>
    <w:rsid w:val="00D01D60"/>
    <w:rsid w:val="00D04696"/>
    <w:rsid w:val="00D05574"/>
    <w:rsid w:val="00D058B7"/>
    <w:rsid w:val="00D06C57"/>
    <w:rsid w:val="00D1117E"/>
    <w:rsid w:val="00D11D1B"/>
    <w:rsid w:val="00D1342A"/>
    <w:rsid w:val="00D269F4"/>
    <w:rsid w:val="00D26D0A"/>
    <w:rsid w:val="00D274AA"/>
    <w:rsid w:val="00D30D95"/>
    <w:rsid w:val="00D33B30"/>
    <w:rsid w:val="00D37326"/>
    <w:rsid w:val="00D37BBE"/>
    <w:rsid w:val="00D37C97"/>
    <w:rsid w:val="00D406C1"/>
    <w:rsid w:val="00D407CB"/>
    <w:rsid w:val="00D41DD2"/>
    <w:rsid w:val="00D42B99"/>
    <w:rsid w:val="00D43D34"/>
    <w:rsid w:val="00D44CB6"/>
    <w:rsid w:val="00D44E32"/>
    <w:rsid w:val="00D513A5"/>
    <w:rsid w:val="00D516A3"/>
    <w:rsid w:val="00D554AD"/>
    <w:rsid w:val="00D55B2A"/>
    <w:rsid w:val="00D55D20"/>
    <w:rsid w:val="00D64E02"/>
    <w:rsid w:val="00D7013D"/>
    <w:rsid w:val="00D76571"/>
    <w:rsid w:val="00D77B08"/>
    <w:rsid w:val="00D8106C"/>
    <w:rsid w:val="00D82C1D"/>
    <w:rsid w:val="00D85E4D"/>
    <w:rsid w:val="00D8677B"/>
    <w:rsid w:val="00D87A77"/>
    <w:rsid w:val="00D94224"/>
    <w:rsid w:val="00D9442B"/>
    <w:rsid w:val="00DA7F12"/>
    <w:rsid w:val="00DB1EFC"/>
    <w:rsid w:val="00DB52D1"/>
    <w:rsid w:val="00DB5E00"/>
    <w:rsid w:val="00DB5FA6"/>
    <w:rsid w:val="00DC4668"/>
    <w:rsid w:val="00DD10E8"/>
    <w:rsid w:val="00DD209F"/>
    <w:rsid w:val="00DD637B"/>
    <w:rsid w:val="00DE3112"/>
    <w:rsid w:val="00DE369F"/>
    <w:rsid w:val="00DE41F0"/>
    <w:rsid w:val="00DF0A30"/>
    <w:rsid w:val="00DF2AF5"/>
    <w:rsid w:val="00DF2F35"/>
    <w:rsid w:val="00E024C9"/>
    <w:rsid w:val="00E0406D"/>
    <w:rsid w:val="00E0556A"/>
    <w:rsid w:val="00E0616E"/>
    <w:rsid w:val="00E06B7E"/>
    <w:rsid w:val="00E102BA"/>
    <w:rsid w:val="00E11A1F"/>
    <w:rsid w:val="00E14F1E"/>
    <w:rsid w:val="00E22435"/>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6CB7"/>
    <w:rsid w:val="00E71AA4"/>
    <w:rsid w:val="00E72FAC"/>
    <w:rsid w:val="00E76417"/>
    <w:rsid w:val="00E81B42"/>
    <w:rsid w:val="00E83075"/>
    <w:rsid w:val="00E83F77"/>
    <w:rsid w:val="00E85096"/>
    <w:rsid w:val="00E852E6"/>
    <w:rsid w:val="00E914E5"/>
    <w:rsid w:val="00E9196C"/>
    <w:rsid w:val="00E93BC1"/>
    <w:rsid w:val="00E94696"/>
    <w:rsid w:val="00E956D9"/>
    <w:rsid w:val="00EA3B87"/>
    <w:rsid w:val="00EA40A1"/>
    <w:rsid w:val="00EA4100"/>
    <w:rsid w:val="00EA52DE"/>
    <w:rsid w:val="00EA7B0D"/>
    <w:rsid w:val="00EB4023"/>
    <w:rsid w:val="00EB4BFC"/>
    <w:rsid w:val="00EB54C4"/>
    <w:rsid w:val="00EC4224"/>
    <w:rsid w:val="00EC4B6C"/>
    <w:rsid w:val="00ED25ED"/>
    <w:rsid w:val="00ED2A25"/>
    <w:rsid w:val="00ED2D29"/>
    <w:rsid w:val="00ED2FFF"/>
    <w:rsid w:val="00ED6D03"/>
    <w:rsid w:val="00EE4147"/>
    <w:rsid w:val="00EE6384"/>
    <w:rsid w:val="00EE6523"/>
    <w:rsid w:val="00EF3294"/>
    <w:rsid w:val="00EF5331"/>
    <w:rsid w:val="00EF5868"/>
    <w:rsid w:val="00F021B5"/>
    <w:rsid w:val="00F114EB"/>
    <w:rsid w:val="00F14C2A"/>
    <w:rsid w:val="00F16828"/>
    <w:rsid w:val="00F17724"/>
    <w:rsid w:val="00F209F4"/>
    <w:rsid w:val="00F23185"/>
    <w:rsid w:val="00F33D3F"/>
    <w:rsid w:val="00F40062"/>
    <w:rsid w:val="00F454D3"/>
    <w:rsid w:val="00F500BF"/>
    <w:rsid w:val="00F506B7"/>
    <w:rsid w:val="00F51332"/>
    <w:rsid w:val="00F5365A"/>
    <w:rsid w:val="00F57A24"/>
    <w:rsid w:val="00F63AE5"/>
    <w:rsid w:val="00F65539"/>
    <w:rsid w:val="00F67A93"/>
    <w:rsid w:val="00F67C9E"/>
    <w:rsid w:val="00F77CE0"/>
    <w:rsid w:val="00F822BB"/>
    <w:rsid w:val="00F854D5"/>
    <w:rsid w:val="00F94D77"/>
    <w:rsid w:val="00FA0D52"/>
    <w:rsid w:val="00FB2959"/>
    <w:rsid w:val="00FD0293"/>
    <w:rsid w:val="00FD32BD"/>
    <w:rsid w:val="00FE0053"/>
    <w:rsid w:val="00FE082F"/>
    <w:rsid w:val="00FE37C6"/>
    <w:rsid w:val="00FE3B09"/>
    <w:rsid w:val="00FE6F53"/>
    <w:rsid w:val="00FE7AE4"/>
    <w:rsid w:val="00FF0C7F"/>
    <w:rsid w:val="00FF12D5"/>
    <w:rsid w:val="00FF18FF"/>
    <w:rsid w:val="00FF3141"/>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06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3F4D2F"/>
    <w:pPr>
      <w:tabs>
        <w:tab w:val="left" w:pos="440"/>
        <w:tab w:val="right" w:pos="8364"/>
      </w:tabs>
      <w:spacing w:before="360"/>
    </w:pPr>
    <w:rPr>
      <w:rFonts w:ascii="Arial" w:eastAsiaTheme="majorEastAsia" w:hAnsi="Arial" w:cs="Arial"/>
      <w:b/>
      <w:bCs/>
      <w:noProof/>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epod.org.uk/2015sepsis.html" TargetMode="External"/><Relationship Id="rId18" Type="http://schemas.openxmlformats.org/officeDocument/2006/relationships/hyperlink" Target="https://www.nice.org.uk/guidance/ng51" TargetMode="External"/><Relationship Id="rId26" Type="http://schemas.openxmlformats.org/officeDocument/2006/relationships/hyperlink" Target="https://www.cqc.org.uk/guidance-providers/gps/gp-mythbuster-9-emergency-medicines-gp-practices" TargetMode="External"/><Relationship Id="rId3" Type="http://schemas.openxmlformats.org/officeDocument/2006/relationships/styles" Target="styles.xml"/><Relationship Id="rId21" Type="http://schemas.openxmlformats.org/officeDocument/2006/relationships/hyperlink" Target="https://sepsistrust.org/healthcare-professionals/clinical-tools/"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nice.org.uk/guidance/ng51/resources" TargetMode="External"/><Relationship Id="rId25" Type="http://schemas.openxmlformats.org/officeDocument/2006/relationships/hyperlink" Target="https://www.resus.org.uk/library/quality-standards-cpr/primary-care-equipment-and-drug-lis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psistrust.org/about/about-sepsis/" TargetMode="External"/><Relationship Id="rId20" Type="http://schemas.openxmlformats.org/officeDocument/2006/relationships/hyperlink" Target="https://sepsistrust.org/healthcare-professionals/clinical-t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51/resources" TargetMode="External"/><Relationship Id="rId24" Type="http://schemas.openxmlformats.org/officeDocument/2006/relationships/hyperlink" Target="https://www.cqc.org.uk/guidance-providers/gps/gp-mythbuster-1-resuscitation-gp-surger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nationalearlywarningscore/" TargetMode="External"/><Relationship Id="rId23" Type="http://schemas.openxmlformats.org/officeDocument/2006/relationships/hyperlink" Target="https://www.rcgp.org.uk/clinical-and-research/resources/toolkits/sepsis-toolkit.aspx" TargetMode="External"/><Relationship Id="rId28" Type="http://schemas.openxmlformats.org/officeDocument/2006/relationships/footer" Target="footer1.xml"/><Relationship Id="rId10" Type="http://schemas.openxmlformats.org/officeDocument/2006/relationships/hyperlink" Target="https://www.nhs.uk/conditions/sepsis/" TargetMode="External"/><Relationship Id="rId19" Type="http://schemas.openxmlformats.org/officeDocument/2006/relationships/hyperlink" Target="https://sepsistrust.org/professional-resources/general-practic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qc.org.uk/guidance-providers/gps/gp-mythbusters/gp-mythbuster-88-sepsis" TargetMode="External"/><Relationship Id="rId14" Type="http://schemas.openxmlformats.org/officeDocument/2006/relationships/hyperlink" Target="https://www.england.nhs.uk/wp-content/uploads/2015/08/Sepsis-Action-Plan-23.12.15-v1.pdf" TargetMode="External"/><Relationship Id="rId22" Type="http://schemas.openxmlformats.org/officeDocument/2006/relationships/hyperlink" Target="https://sepsistrust.org/wp-content/uploads/2024/07/Sepsis-Manual-7th-Edition-2024-V1.0.pdf" TargetMode="External"/><Relationship Id="rId27" Type="http://schemas.openxmlformats.org/officeDocument/2006/relationships/hyperlink" Target="https://www.cas.mhra.gov.uk/ViewandAcknowledgment/ViewAlert.aspx?AlertID=102821" TargetMode="External"/><Relationship Id="rId30" Type="http://schemas.openxmlformats.org/officeDocument/2006/relationships/header" Target="header1.xml"/><Relationship Id="rId8" Type="http://schemas.openxmlformats.org/officeDocument/2006/relationships/hyperlink" Target="https://www.nice.org.uk/guidance/NG51/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2025-08-13T13:37:00Z</dcterms:created>
  <dcterms:modified xsi:type="dcterms:W3CDTF">2025-08-13T13:37:00Z</dcterms:modified>
</cp:coreProperties>
</file>